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[AĞIR CEZA MAHKEMESİ BULUNAN İL/İLÇE] NÖBETÇİ SULH CEZA HÂKİMLİĞİNE</w:t>
      </w:r>
    </w:p>
    <w:p>
      <w:pPr>
        <w:jc w:val="center"/>
        <w:spacing w:after="120" w:line="276" w:lineRule="auto"/>
      </w:pPr>
      <w:r>
        <w:t xml:space="preserve">[kararı ilçe başsavcılığı verdiyse: [İLÇE] Cumhuriyet Başsavcılığı aracılığıyla gönderilmek üzere]</w:t>
      </w:r>
    </w:p>
    <w:p>
      <w:pPr>
        <w:jc w:val="both"/>
        <w:spacing w:after="120" w:line="276" w:lineRule="auto"/>
      </w:pPr>
      <w:r>
        <w:rPr>
          <w:b/>
          <w:bCs/>
        </w:rPr>
        <w:t xml:space="preserve">SORUŞTURMA NO:</w:t>
      </w:r>
      <w:r>
        <w:t xml:space="preserve"> [Yıl/Sıra] </w:t>
      </w:r>
      <w:r>
        <w:rPr>
          <w:b/>
          <w:bCs/>
        </w:rPr>
        <w:t xml:space="preserve">KARAR NO:</w:t>
      </w:r>
      <w:r>
        <w:t xml:space="preserve"> [Yıl/Sıra]</w:t>
      </w:r>
    </w:p>
    <w:p>
      <w:pPr>
        <w:jc w:val="both"/>
        <w:spacing w:after="120" w:line="276" w:lineRule="auto"/>
      </w:pPr>
      <w:r>
        <w:rPr>
          <w:b/>
          <w:bCs/>
        </w:rPr>
        <w:t xml:space="preserve">KARAR TARİHİ:</w:t>
      </w:r>
      <w:r>
        <w:t xml:space="preserve"> [gg.aa.2026] </w:t>
      </w:r>
      <w:r>
        <w:rPr>
          <w:b/>
          <w:bCs/>
        </w:rPr>
        <w:t xml:space="preserve">TEBLİĞ TARİHİ:</w:t>
      </w:r>
      <w:r>
        <w:t xml:space="preserve"> [gg.aa.2026] [tebligat usulsüzse: kararı öğrendiğim tarih ve öğrenme şekli]</w:t>
      </w:r>
    </w:p>
    <w:p>
      <w:pPr>
        <w:jc w:val="both"/>
        <w:spacing w:after="120" w:line="276" w:lineRule="auto"/>
      </w:pPr>
      <w:r>
        <w:rPr>
          <w:b/>
          <w:bCs/>
        </w:rPr>
        <w:t xml:space="preserve">İTİRAZ EDEN (SUÇTAN ZARAR GÖREN):</w:t>
      </w:r>
      <w:r>
        <w:t xml:space="preserve"> [Ad Soyad / Şirket unvanı ve yetkilisi], T.C. Kimlik / Vergi No: [...........], Adres: [...........]</w:t>
      </w:r>
    </w:p>
    <w:p>
      <w:pPr>
        <w:jc w:val="both"/>
        <w:spacing w:after="120" w:line="276" w:lineRule="auto"/>
      </w:pPr>
      <w:r>
        <w:t xml:space="preserve">[varsa: VEKİLİ: Av. Ad Soyad, baro ve sicil no, adres]</w:t>
      </w:r>
    </w:p>
    <w:p>
      <w:pPr>
        <w:jc w:val="both"/>
        <w:spacing w:after="120" w:line="276" w:lineRule="auto"/>
      </w:pPr>
      <w:r>
        <w:rPr>
          <w:b/>
          <w:bCs/>
        </w:rPr>
        <w:t xml:space="preserve">ŞÜPHELİ(LER):</w:t>
      </w:r>
      <w:r>
        <w:t xml:space="preserve"> [Ad Soyad], [biliniyorsa T.C. kimlik no, telefon, IBAN sahibi ise hesap bilgisi] [fail belirlenemediyse: kimliği belirlenemeyen şüpheliler ve [IBAN / hat] sahibi [Ad Soyad]]</w:t>
      </w:r>
    </w:p>
    <w:p>
      <w:pPr>
        <w:jc w:val="both"/>
        <w:spacing w:after="120" w:line="276" w:lineRule="auto"/>
      </w:pPr>
      <w:r>
        <w:rPr>
          <w:b/>
          <w:bCs/>
        </w:rPr>
        <w:t xml:space="preserve">SUÇ:</w:t>
      </w:r>
      <w:r>
        <w:t xml:space="preserve"> [Dolandırıcılık (TCK 157) / Nitelikli dolandırıcılık (TCK 158/1-[bent])]</w:t>
      </w:r>
    </w:p>
    <w:p>
      <w:pPr>
        <w:jc w:val="both"/>
        <w:spacing w:after="120" w:line="276" w:lineRule="auto"/>
      </w:pPr>
      <w:r>
        <w:rPr>
          <w:b/>
          <w:bCs/>
        </w:rPr>
        <w:t xml:space="preserve">ZARAR:</w:t>
      </w:r>
      <w:r>
        <w:t xml:space="preserve"> [....... TL], [gg.aa.20..] ile [gg.aa.20..] tarihleri arasında [... adet havale / EFT / kart harcaması / kripto transferi]</w:t>
      </w:r>
    </w:p>
    <w:p>
      <w:pPr>
        <w:jc w:val="both"/>
        <w:spacing w:after="120" w:line="276" w:lineRule="auto"/>
      </w:pPr>
      <w:r>
        <w:rPr>
          <w:b/>
          <w:bCs/>
        </w:rPr>
        <w:t xml:space="preserve">KONU:</w:t>
      </w:r>
      <w:r>
        <w:t xml:space="preserve"> [İL] Cumhuriyet Başsavcılığının yukarıda tarih ve numarası yazılı kovuşturmaya yer olmadığına dair kararına CMK 173 uyarınca itirazımın sunulması; kararın kaldırılarak şüpheliler hakkında kamu davası açılması, olmazsa aşağıda sayılan banka, hat ve bilişim kayıtları toplanmak üzere soruşturmanın genişletilmesi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Olay ve zararım:</w:t>
      </w:r>
      <w:r>
        <w:t xml:space="preserve"> [gg.aa.20..] tarihinde [ilan sitesi / sosyal medya reklamı / telefon araması / tanıdık aracılığıyla] şüpheliyle tanıştım. Şüpheli bana [aracını satacağını / yüksek getirili yatırım yapacağını / iş bulacağını / kamu görevlisi olarak hesabımı koruyacağını] söyledi. Bu söze güvenerek [tarih, tutar ve alıcı IBAN] olmak üzere toplam [....... TL] gönderdim. Paranın gönderildiği hesaplar ve dekontlar ektedir. Paramı doğrudan kaybeden kişi olarak itiraz hakkım vardır (CMK 173/1, 234/1-a). Karar bana [gg.aa.2026] tarihinde tebliğ edilmiştir.</w:t>
      </w:r>
    </w:p>
    <w:p>
      <w:pPr>
        <w:jc w:val="both"/>
        <w:spacing w:after="120" w:line="276" w:lineRule="auto"/>
      </w:pPr>
      <w:r>
        <w:t xml:space="preserve">2. </w:t>
      </w:r>
      <w:r>
        <w:rPr>
          <w:b/>
          <w:bCs/>
        </w:rPr>
        <w:t xml:space="preserve">Kararın gerekçesi:</w:t>
      </w:r>
      <w:r>
        <w:t xml:space="preserve"> Başsavcılık, "[karardaki cümleyi aynen yazın: uyuşmazlığın hukuki ihtilaf niteliğinde olduğu / eylemin basit yalan niteliğinde kaldığı / müştekinin kendi rızasıyla para gönderdiği / failin tespit edilemediği / zararın giderildiği]" gerekçesine dayanmıştır. Aşağıda bu gerekçenin neden yanlış olduğunu ve hangi delillerin toplanmadığını gösteriyorum.</w:t>
      </w:r>
    </w:p>
    <w:p>
      <w:pPr>
        <w:jc w:val="both"/>
        <w:spacing w:after="120" w:line="276" w:lineRule="auto"/>
      </w:pPr>
      <w:r>
        <w:t xml:space="preserve">3. </w:t>
      </w:r>
      <w:r>
        <w:rPr>
          <w:b/>
          <w:bCs/>
        </w:rPr>
        <w:t xml:space="preserve">Hile, paranın gönderilmesinden önce vardı:</w:t>
      </w:r>
      <w:r>
        <w:t xml:space="preserve"> Dolandırıcılık, hileli davranışlarla aldatıp zarar verme ve yarar sağlamadır (TCK 157/1). Olayda şüphelinin aldatıcı davranışı, ben parayı göndermeden önce başlamıştır: [ilan sahte fotoğraflarla verilmiştir / araç şüpheliye ait değildir / şirket kayıtlı değildir / kendisini ... olarak tanıtmıştır / bana sahte dekont ya da sözleşme göstermiştir]. Para elinden çıkar çıkmaz [telefonunu kapatmış / beni engellemiş / adresinden taşınmıştır]. Bu tablo sonradan ortaya çıkan bir ödeme güçlüğü değil, baştan ödememe iradesidir.</w:t>
      </w:r>
    </w:p>
    <w:p>
      <w:pPr>
        <w:jc w:val="both"/>
        <w:spacing w:after="120" w:line="276" w:lineRule="auto"/>
      </w:pPr>
      <w:r>
        <w:t xml:space="preserve">4. </w:t>
      </w:r>
      <w:r>
        <w:rPr>
          <w:b/>
          <w:bCs/>
        </w:rPr>
        <w:t xml:space="preserve">Paranın izi dosyada sürülmemiştir:</w:t>
      </w:r>
      <w:r>
        <w:t xml:space="preserve"> Gönderdiğim paranın hangi hesaplara geçtiği, hesaptan kim tarafından, hangi ATM'den ya da hangi cihazdan çekildiği araştırılmamıştır. Banka ve ödeme kuruluşları, soruşturmada istenen bilgi ve belgeyi on gün içinde göndermek zorundadır (CMK 128/A-7). Alıcı hesapların açılış tarihi, hesaba bağlı telefon ve e-posta, işlem anındaki IP kayıtları istenirse şüphelilerin kimliği ve aralarındaki bağlantı ortaya çıkacaktır.</w:t>
      </w:r>
    </w:p>
    <w:p>
      <w:pPr>
        <w:jc w:val="both"/>
        <w:spacing w:after="120" w:line="276" w:lineRule="auto"/>
      </w:pPr>
      <w:r>
        <w:t xml:space="preserve">5. </w:t>
      </w:r>
      <w:r>
        <w:rPr>
          <w:b/>
          <w:bCs/>
        </w:rPr>
        <w:t xml:space="preserve">Yeterli şüphe vardır:</w:t>
      </w:r>
      <w:r>
        <w:t xml:space="preserve"> İddianame için mahkûmiyete yetecek kesinlik değil, suçun işlendiğine dair yeterli şüphe aranır (CMK 170/2). Dekontlar, yazışmalar ve hesap sahibinin kimliği birlikte bu eşiği aşmaktadır. Hukuk yoluna başvurma imkânımın bulunması, fiilin suç olmasını ortadan kaldırmaz.</w:t>
      </w:r>
    </w:p>
    <w:p>
      <w:pPr>
        <w:jc w:val="both"/>
        <w:spacing w:after="120" w:line="276" w:lineRule="auto"/>
      </w:pPr>
      <w:r>
        <w:t xml:space="preserve">6. </w:t>
      </w:r>
      <w:r>
        <w:t xml:space="preserve">[SEÇENEK — dosyanıza uyuyorsa kullanın: savcı "hukuki ihtilaf, alacağınızı icrada isteyin" dediyse] </w:t>
      </w:r>
      <w:r>
        <w:rPr>
          <w:b/>
          <w:bCs/>
        </w:rPr>
        <w:t xml:space="preserve">Bu bir alacak davası değildir:</w:t>
      </w:r>
      <w:r>
        <w:t xml:space="preserve"> Satış, kira, kapora ya da hizmet sözleşmesi şüphelinin elinde aldatma aracı olarak kullanılmıştır. [Aynı ilanla başka kişilerden de kapora alındığı / aynı aracın birden fazla kişiye satıldığı / şüphelinin hakkında benzer şikâyetler bulunduğu] [tanık / ekran görüntüsü / UYAP sorgusu] ile anlaşılmaktadır. Şüpheli hakkında benzer suçlardan soruşturma ve kovuşturma dosyalarının araştırılmasını, tanık [Ad Soyad]'ın dinlenmesini, [varsa hukuk mahkemesindeki ya da icra dairesindeki dosyanın] getirtilmesini istiyorum. Taraflar arasında bir sözleşme bulunması, sözleşmenin hile ile kurulduğu durumda suçu ortadan kaldırmaz.</w:t>
      </w:r>
    </w:p>
    <w:p>
      <w:pPr>
        <w:jc w:val="both"/>
        <w:spacing w:after="120" w:line="276" w:lineRule="auto"/>
      </w:pPr>
      <w:r>
        <w:t xml:space="preserve">7. </w:t>
      </w:r>
      <w:r>
        <w:t xml:space="preserve">[SEÇENEK — dosyanıza uyuyorsa kullanın: savcı "basit yalan, kontrol edebilirdiniz" dediyse] </w:t>
      </w:r>
      <w:r>
        <w:rPr>
          <w:b/>
          <w:bCs/>
        </w:rPr>
        <w:t xml:space="preserve">Hile basit yalan değildir:</w:t>
      </w:r>
      <w:r>
        <w:t xml:space="preserve"> Şüpheli yalnız bir söz söylemekle kalmamış, [sahte internet sitesi, sahte vergi ve bloke senaryosu, sahte kurum yazısı, birden çok kişinin rol aldığı telefon görüşmeleri] kurgulamıştır. Bu kurgu, ortalama bir kişinin denetim imkânını ortadan kaldıracak yoğunluktadır. Benden [katılım bedeli / vergi / bloke kaldırma ücreti] adı altında art arda para istenmesi, tek bir yalanla değil, planlı bir senaryoyla karşı karşıya olduğumu göstermektedir.</w:t>
      </w:r>
    </w:p>
    <w:p>
      <w:pPr>
        <w:jc w:val="both"/>
        <w:spacing w:after="120" w:line="276" w:lineRule="auto"/>
      </w:pPr>
      <w:r>
        <w:t xml:space="preserve">8. </w:t>
      </w:r>
      <w:r>
        <w:t xml:space="preserve">[SEÇENEK — dosyanıza uyuyorsa kullanın: kart bilgisini ya da onay kodunu kendiniz verdiyseniz] </w:t>
      </w:r>
      <w:r>
        <w:rPr>
          <w:b/>
          <w:bCs/>
        </w:rPr>
        <w:t xml:space="preserve">Rızam hileyle elde edilmiştir:</w:t>
      </w:r>
      <w:r>
        <w:t xml:space="preserve"> Kart bilgilerimi ve telefonuma gelen onay kodlarını, kendisini [banka görevlisi / kamu görevlisi / kargo şirketi / tanıdığım kişi] olarak tanıtan şüpheliye [yardım parası gönderileceği / hesabımın korunacağı] yalanına inanarak verdim. Hileyle alınan bilgi, rızaya dayalı işlem sayılamaz; aldatma suçun kendisidir. Kişinin kendisini kamu görevlisi ya da banka, sigorta veya kredi kurumu çalışanı olarak tanıtması dolandırıcılığın nitelikli hâlidir (TCK 158/1-l); kargo görevlisi ya da tanıdık gibi davranıp kart bilgisiyle işlem yapılmışsa bilişim sistemi ve banka araç olarak kullanıldığından 158/1-f gündeme gelir. Kart işlemlerinin yapıldığı IP adreslerinin, satın alınan ürünlerin teslim adresinin ve şüphelinin kullandığı e-posta hesabının araştırılmasını istiyorum.</w:t>
      </w:r>
    </w:p>
    <w:p>
      <w:pPr>
        <w:jc w:val="both"/>
        <w:spacing w:after="120" w:line="276" w:lineRule="auto"/>
      </w:pPr>
      <w:r>
        <w:t xml:space="preserve">9. </w:t>
      </w:r>
      <w:r>
        <w:t xml:space="preserve">[SEÇENEK — dosyanıza uyuyorsa kullanın: savcı "fail belirlenemedi" dediyse] </w:t>
      </w:r>
      <w:r>
        <w:rPr>
          <w:b/>
          <w:bCs/>
        </w:rPr>
        <w:t xml:space="preserve">Fail belirlenebilir:</w:t>
      </w:r>
      <w:r>
        <w:t xml:space="preserve"> Beni arayan [telefon numaraları], yazıştığım [sosyal medya hesabı / Telegram kullanıcı adı], paranın gittiği [IBAN / kripto cüzdan adresi] dosyada bellidir. Hat sahiplerinin ve hatları fiilen kullanan kişilerin araştırılmasını, sosyal medya şirketinden ve [kripto varlık hizmet sağlayıcısından] hesap ve IP bilgilerinin istenmesini, gelen cevaba göre soruşturmaya devam edilmesini talep ediyorum. Kayıtlar istenmeden faili belirlenemedi denmesi eksik soruşturmadır.</w:t>
      </w:r>
    </w:p>
    <w:p>
      <w:pPr>
        <w:jc w:val="both"/>
        <w:spacing w:after="120" w:line="276" w:lineRule="auto"/>
      </w:pPr>
      <w:r>
        <w:t xml:space="preserve">10. </w:t>
      </w:r>
      <w:r>
        <w:t xml:space="preserve">[SEÇENEK — dosyanıza uyuyorsa kullanın: para başkasının IBAN'ına gittiyse ve hesap sahibi "kandırıldım" dediyse] </w:t>
      </w:r>
      <w:r>
        <w:rPr>
          <w:b/>
          <w:bCs/>
        </w:rPr>
        <w:t xml:space="preserve">Hesap sahibinin savunması araştırılmalıdır:</w:t>
      </w:r>
      <w:r>
        <w:t xml:space="preserve"> Paranın gittiği hesabın sahibi [Ad Soyad], hesabını [birine kiraladığını / kart ve şifresini verdiğini / haberi olmadığını] söylemiştir. Hesabın [olaydan kısa süre önce açılıp açılmadığı], paranın [gelir gelmez çekilip çekilmediği], [başka mağdurlardan da para gelip gelmediği], kart ve şifrenin kime verildiği araştırılmamıştır. Hesap ya da kart bilgisini vermekle sınırlı kalan iştirak de cezalandırılır; kanun yalnız cezada yarı oranında indirim öngörür (TCK 158/4). Hesap sahibinin anlattığı kişilerin de şüpheli olarak dinlenmesini istiyorum.</w:t>
      </w:r>
    </w:p>
    <w:p>
      <w:pPr>
        <w:jc w:val="both"/>
        <w:spacing w:after="120" w:line="276" w:lineRule="auto"/>
      </w:pPr>
      <w:r>
        <w:t xml:space="preserve">11. </w:t>
      </w:r>
      <w:r>
        <w:t xml:space="preserve">[SEÇENEK — dosyanıza uyuyorsa kullanın: savcı "zarar giderildi" ya da "para iade edildi" dediyse] </w:t>
      </w:r>
      <w:r>
        <w:rPr>
          <w:b/>
          <w:bCs/>
        </w:rPr>
        <w:t xml:space="preserve">Zararın giderilmesi kovuşturma engeli değildir:</w:t>
      </w:r>
      <w:r>
        <w:t xml:space="preserve"> [Bankanın itiraz süreci sonunda / şüphelinin kısmi ödemesiyle] [....... TL] iade edilmiştir; [kalan ....... TL] hâlâ ödenmemiştir. Kovuşturma başlamadan zararın tamamen giderilmesi, dolandırıcılıkta yalnız cezada indirim sebebidir (TCK 168/1); suçu ortadan kaldırmaz ve kovuşturmaya yer olmadığına karar vermeyi gerektirmez.</w:t>
      </w:r>
    </w:p>
    <w:p>
      <w:pPr>
        <w:jc w:val="both"/>
        <w:spacing w:after="120" w:line="276" w:lineRule="auto"/>
      </w:pPr>
      <w:r>
        <w:t xml:space="preserve">12. </w:t>
      </w:r>
      <w:r>
        <w:t xml:space="preserve">[SEÇENEK — dosyanıza uyuyorsa kullanın: fiil nitelikli dolandırıcılık ise] </w:t>
      </w:r>
      <w:r>
        <w:rPr>
          <w:b/>
          <w:bCs/>
        </w:rPr>
        <w:t xml:space="preserve">Nitelikli hâl gözden kaçırılmıştır:</w:t>
      </w:r>
      <w:r>
        <w:t xml:space="preserve"> Fiil [bilişim sistemleri ve banka araç olarak kullanılarak (TCK 158/1-f) / kendisini kamu görevlisi ya da banka çalışanı olarak tanıtarak (158/1-l) / üç kişi birlikte (158/3)] işlenmiştir. Nitelikli dolandırıcılık uzlaştırma kapsamında değildir. [Basit dolandırıcılık kabul edilirse, kamu davası açılmadan önce dosyanın uzlaştırma bürosuna gönderilmesi gerekir (CMK 253/4).]</w:t>
      </w:r>
    </w:p>
    <w:p>
      <w:pPr>
        <w:jc w:val="both"/>
        <w:spacing w:after="120" w:line="276" w:lineRule="auto"/>
      </w:pPr>
      <w:r>
        <w:t xml:space="preserve">13. </w:t>
      </w:r>
      <w:r>
        <w:t xml:space="preserve">[SEÇENEK — dosyanıza uyuyorsa kullanın: tebligat usulsüzse ve süre sorunu varsa] </w:t>
      </w:r>
      <w:r>
        <w:rPr>
          <w:b/>
          <w:bCs/>
        </w:rPr>
        <w:t xml:space="preserve">Sürenin başlangıcı:</w:t>
      </w:r>
      <w:r>
        <w:t xml:space="preserve"> Karar adresimde bana değil, [komşuya, isim yazılmadan / eski adresime] bırakılmıştır. Usulsüz tebligatta süre, kararı gerçekten öğrendiğim [gg.aa.2026] tarihinden başlar; dilekçem bu tarihe göre süresindedir [varsa emsal karar künyesi].</w:t>
      </w:r>
    </w:p>
    <w:p>
      <w:pPr>
        <w:jc w:val="both"/>
        <w:spacing w:after="120" w:line="276" w:lineRule="auto"/>
      </w:pPr>
      <w:r>
        <w:t xml:space="preserve">14. </w:t>
      </w:r>
      <w:r>
        <w:rPr>
          <w:b/>
          <w:bCs/>
        </w:rPr>
        <w:t xml:space="preserve">Elkoyma ve iade:</w:t>
      </w:r>
      <w:r>
        <w:t xml:space="preserve"> [SEÇENEK — dosyanıza uyuyorsa kullanın: paranın gittiği hesapta askıya alma ya da elkoyma yapıldıysa] Bana ait olduğu anlaşılan ve elkonulan tutarın soruşturma sürerken tarafıma iadesi için gereğinin Cumhuriyet başsavcılığına bildirilmesini istiyorum (CMK 128/A-5).</w:t>
      </w:r>
    </w:p>
    <w:p>
      <w:pPr>
        <w:jc w:val="both"/>
        <w:spacing w:after="120" w:line="276" w:lineRule="auto"/>
      </w:pPr>
      <w:r>
        <w:rPr>
          <w:b/>
          <w:bCs/>
        </w:rPr>
        <w:t xml:space="preserve">HUKUKİ NEDENLER:</w:t>
      </w:r>
      <w:r>
        <w:t xml:space="preserve"> 5271 sayılı CMK m.128/A, 160, 170, 172, 173, 234, 253; 5237 sayılı TCK m.157, 158, 168; [varsa emsal karar künyesi].</w:t>
      </w:r>
    </w:p>
    <w:p>
      <w:pPr>
        <w:jc w:val="both"/>
        <w:spacing w:after="120" w:line="276" w:lineRule="auto"/>
      </w:pPr>
      <w:r>
        <w:rPr>
          <w:b/>
          <w:bCs/>
        </w:rPr>
        <w:t xml:space="preserve">DELİLLER:</w:t>
      </w:r>
      <w:r>
        <w:t xml:space="preserve"> [Yıl/Sıra] sayılı soruşturma dosyası, dekontlar ve banka hesap hareketleri, alıcı hesapların açılış ve işlem kayıtları, IP kayıtları, HTS ve abone bilgileri, [ilan, sosyal medya ve mesaj kayıtları], [sahte sözleşme, senet, çek ya da kurum yazısı], tanık [Ad Soyad], benzer suçlardan açılmış soruşturma ve kovuşturma dosyaları, [ATM ve şube kamera kayıtları], bilirkişi incelemesi.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İtirazımın kabulüne, kovuşturmaya yer olmadığına dair kararın kaldırılmasına ve şüpheliler hakkında [TCK 157 / 158/1-..] maddesinden kamu davası açılmasına (CMK 173/4), fiil basit dolandırıcılık sayılırsa dosyanın önce uzlaştırma bürosuna gönderilmesine,</w:t>
      </w:r>
    </w:p>
    <w:p>
      <w:pPr>
        <w:jc w:val="both"/>
        <w:spacing w:after="120" w:line="276" w:lineRule="auto"/>
      </w:pPr>
      <w:r>
        <w:t xml:space="preserve">2. </w:t>
      </w:r>
      <w:r>
        <w:t xml:space="preserve">Bu talebim yerinde görülmezse terditli olarak; [banka ve ödeme kuruluşu kayıtları, IP ve abone bilgileri, hesap sahibinin ve hat kullanıcılarının ifadesi, tanık beyanı, benzer dosyaların getirtilmesi] için soruşturmanın genişletilmesinin Cumhuriyet Başsavcılığından istenmesine (CMK 173/3),</w:t>
      </w:r>
    </w:p>
    <w:p>
      <w:pPr>
        <w:jc w:val="both"/>
        <w:spacing w:after="120" w:line="276" w:lineRule="auto"/>
      </w:pPr>
      <w:r>
        <w:t xml:space="preserve">3. </w:t>
      </w:r>
      <w:r>
        <w:t xml:space="preserve">[Hesapta elkoyma varsa:] elkonulan ve bana ait olduğu anlaşılan paranın iadesi için gereğinin Cumhuriyet başsavcılığına bildirilmesine (CMK 128/A-5),</w:t>
      </w:r>
    </w:p>
    <w:p>
      <w:pPr>
        <w:jc w:val="both"/>
        <w:spacing w:after="120" w:line="276" w:lineRule="auto"/>
      </w:pPr>
      <w:r>
        <w:t xml:space="preserve">4. </w:t>
      </w:r>
      <w:r>
        <w:t xml:space="preserve">Hâkimliğiniz yetkili değilse dilekçemin yetkili sulh ceza hâkimliğine gönderilmesine (CMK 264/1),</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İtiraz Eden Suçtan Zarar Gören</w:t>
      </w:r>
    </w:p>
    <w:p>
      <w:pPr>
        <w:jc w:val="right"/>
        <w:spacing w:after="120" w:line="276" w:lineRule="auto"/>
      </w:pPr>
      <w:r>
        <w:t xml:space="preserve">[Ad Soyad / İmza]</w:t>
      </w:r>
    </w:p>
    <w:p>
      <w:pPr>
        <w:jc w:val="right"/>
        <w:spacing w:after="120" w:line="276" w:lineRule="auto"/>
      </w:pPr>
      <w:r>
        <w:t xml:space="preserve">[varsa: Vekili Av. Ad Soyad / İmza]</w:t>
      </w:r>
    </w:p>
    <w:p>
      <w:pPr>
        <w:jc w:val="both"/>
        <w:spacing w:after="120" w:line="276" w:lineRule="auto"/>
      </w:pPr>
      <w:r>
        <w:rPr>
          <w:b/>
          <w:bCs/>
        </w:rPr>
        <w:t xml:space="preserve">EKLER:</w:t>
      </w:r>
    </w:p>
    <w:p>
      <w:pPr>
        <w:jc w:val="both"/>
        <w:spacing w:after="120" w:line="276" w:lineRule="auto"/>
      </w:pPr>
      <w:r>
        <w:t xml:space="preserve">1. </w:t>
      </w:r>
      <w:r>
        <w:t xml:space="preserve">Kovuşturmaya yer olmadığına dair kararın örneği ve tebliğ belgesi</w:t>
      </w:r>
    </w:p>
    <w:p>
      <w:pPr>
        <w:jc w:val="both"/>
        <w:spacing w:after="120" w:line="276" w:lineRule="auto"/>
      </w:pPr>
      <w:r>
        <w:t xml:space="preserve">2. </w:t>
      </w:r>
      <w:r>
        <w:t xml:space="preserve">Dekontlar ve hesap ekstresi</w:t>
      </w:r>
    </w:p>
    <w:p>
      <w:pPr>
        <w:jc w:val="both"/>
        <w:spacing w:after="120" w:line="276" w:lineRule="auto"/>
      </w:pPr>
      <w:r>
        <w:t xml:space="preserve">3. </w:t>
      </w:r>
      <w:r>
        <w:t xml:space="preserve">[İlan, mesaj, arama kaydı ve sosyal medya ekran görüntüleri]</w:t>
      </w:r>
    </w:p>
    <w:p>
      <w:pPr>
        <w:jc w:val="both"/>
        <w:spacing w:after="120" w:line="276" w:lineRule="auto"/>
      </w:pPr>
      <w:r>
        <w:t xml:space="preserve">4. </w:t>
      </w:r>
      <w:r>
        <w:t xml:space="preserve">[Sözleşme, senet, çek, sahte belge örnekleri]</w:t>
      </w:r>
    </w:p>
    <w:p>
      <w:pPr>
        <w:jc w:val="both"/>
        <w:spacing w:after="120" w:line="276" w:lineRule="auto"/>
      </w:pPr>
      <w:r>
        <w:t xml:space="preserve">5. </w:t>
      </w:r>
      <w:r>
        <w:t xml:space="preserve">[Tanık listesi; varsa vekâletname ya da şirket yetki belgesi]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