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BÖLGE ADLİYE MAHKEMESİ [NO]. CEZA DAİRESİ BAŞKANLIĞINA</w:t>
      </w:r>
    </w:p>
    <w:p>
      <w:pPr>
        <w:jc w:val="center"/>
        <w:spacing w:after="120" w:line="276" w:lineRule="auto"/>
      </w:pPr>
      <w:r>
        <w:t xml:space="preserve">gönderilmek üzere</w:t>
      </w:r>
    </w:p>
    <w:p>
      <w:pPr>
        <w:jc w:val="center"/>
        <w:spacing w:after="120" w:line="276" w:lineRule="auto"/>
      </w:pPr>
      <w:r>
        <w:rPr>
          <w:b/>
          <w:bCs/>
        </w:rPr>
        <w:t xml:space="preserve">YARGITAY [NO]. CEZA DAİRESİ BAŞKANLIĞINA</w:t>
      </w:r>
    </w:p>
    <w:p>
      <w:pPr>
        <w:jc w:val="both"/>
        <w:spacing w:after="120" w:line="276" w:lineRule="auto"/>
      </w:pPr>
      <w:r>
        <w:rPr>
          <w:b/>
          <w:bCs/>
        </w:rPr>
        <w:t xml:space="preserve">BÖLGE ADLİYE MAHKEMESİ DOSYA NO:</w:t>
      </w:r>
      <w:r>
        <w:t xml:space="preserve"> Esas [Yıl/Sıra], Karar [Yıl/Sıra]</w:t>
      </w:r>
    </w:p>
    <w:p>
      <w:pPr>
        <w:jc w:val="both"/>
        <w:spacing w:after="120" w:line="276" w:lineRule="auto"/>
      </w:pPr>
      <w:r>
        <w:rPr>
          <w:b/>
          <w:bCs/>
        </w:rPr>
        <w:t xml:space="preserve">İLK DERECE MAHKEMESİ:</w:t>
      </w:r>
      <w:r>
        <w:t xml:space="preserve"> [İL] [NO]. Ağır Ceza Mahkemesi, Esas [Yıl/Sıra], Karar [Yıl/Sıra]</w:t>
      </w:r>
    </w:p>
    <w:p>
      <w:pPr>
        <w:jc w:val="both"/>
        <w:spacing w:after="120" w:line="276" w:lineRule="auto"/>
      </w:pPr>
      <w:r>
        <w:rPr>
          <w:b/>
          <w:bCs/>
        </w:rPr>
        <w:t xml:space="preserve">TEMYİZ EDEN SANIK:</w:t>
      </w:r>
      <w:r>
        <w:t xml:space="preserve"> [Ad Soyad], T.C. Kimlik No: [...........], Adres: [...........]</w:t>
      </w:r>
    </w:p>
    <w:p>
      <w:pPr>
        <w:jc w:val="both"/>
        <w:spacing w:after="120" w:line="276" w:lineRule="auto"/>
      </w:pPr>
      <w:r>
        <w:t xml:space="preserve">[tutukluysa: Halen [kurum adı] Ceza İnfaz Kurumunda tutuklu bulunmaktadır; tutukluluk başlangıcı [gg.aa.20..]]</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KARŞI TARAF:</w:t>
      </w:r>
      <w:r>
        <w:t xml:space="preserve"> Kamu Hukuku (K.H.)</w:t>
      </w:r>
    </w:p>
    <w:p>
      <w:pPr>
        <w:jc w:val="both"/>
        <w:spacing w:after="120" w:line="276" w:lineRule="auto"/>
      </w:pPr>
      <w:r>
        <w:rPr>
          <w:b/>
          <w:bCs/>
        </w:rPr>
        <w:t xml:space="preserve">SUÇ:</w:t>
      </w:r>
      <w:r>
        <w:t xml:space="preserve"> Uyuşturucu veya uyarıcı madde ticareti (TCK 188/3 [hükümde uygulandıysa: 188/4-a, 188/4-b, 188/5, 192/3])</w:t>
      </w:r>
    </w:p>
    <w:p>
      <w:pPr>
        <w:jc w:val="both"/>
        <w:spacing w:after="120" w:line="276" w:lineRule="auto"/>
      </w:pPr>
      <w:r>
        <w:rPr>
          <w:b/>
          <w:bCs/>
        </w:rPr>
        <w:t xml:space="preserve">TEMYİZ EDİLEN KARAR:</w:t>
      </w:r>
      <w:r>
        <w:t xml:space="preserve"> [İl] Bölge Adliye Mahkemesi [No]. Ceza Dairesinin [gg.aa.20..] tarihli, [Yıl/Sıra] Esas ve [Yıl/Sıra] Karar sayılı [istinaf başvurusunun esastan reddine / hukuka aykırılık düzeltilerek esastan reddine / ilk derece hükmünün kaldırılarak yeniden hüküm kurulmasına] dair kararı; ilk derece mahkemesince verilen ceza: [... yıl ... ay] hapis ve [...] gün adli para cezası; bölge adliye mahkemesince belirlenen ceza: [... yıl ... ay]</w:t>
      </w:r>
    </w:p>
    <w:p>
      <w:pPr>
        <w:jc w:val="both"/>
        <w:spacing w:after="120" w:line="276" w:lineRule="auto"/>
      </w:pPr>
      <w:r>
        <w:rPr>
          <w:b/>
          <w:bCs/>
        </w:rPr>
        <w:t xml:space="preserve">GEREKÇELİ KARARIN TEBLİĞ TARİHİ:</w:t>
      </w:r>
      <w:r>
        <w:t xml:space="preserve"> [gg.aa.20..] [tutukluysa: kurumda tebellüğ tarihi]</w:t>
      </w:r>
    </w:p>
    <w:p>
      <w:pPr>
        <w:jc w:val="both"/>
        <w:spacing w:after="120" w:line="276" w:lineRule="auto"/>
      </w:pPr>
      <w:r>
        <w:rPr>
          <w:b/>
          <w:bCs/>
        </w:rPr>
        <w:t xml:space="preserve">DURUŞMALI İNCELEME TALEBİ:</w:t>
      </w:r>
      <w:r>
        <w:t xml:space="preserve"> [Ceza on yıl veya daha fazla hapis ise: Temyiz incelemesinin CMK 299/1 uyarınca duruşmalı yapılmasını talep ediyorum. / Değilse bu satırı silin.]</w:t>
      </w:r>
    </w:p>
    <w:p>
      <w:pPr>
        <w:jc w:val="both"/>
        <w:spacing w:after="120" w:line="276" w:lineRule="auto"/>
      </w:pPr>
      <w:r>
        <w:rPr>
          <w:b/>
          <w:bCs/>
        </w:rPr>
        <w:t xml:space="preserve">KONU:</w:t>
      </w:r>
      <w:r>
        <w:t xml:space="preserve"> Uyuşturucu ticareti hükmünü onayan bölge adliye mahkemesi kararının; aramanın ve iletişim denetiminin hukuka aykırılığı, eylemin TCK 191/1 yerine TCK 188/3 kapsamında nitelendirilmesi, TCK 188/4 artırımlarının dayanaksız uygulanması, TCK 192'nin değerlendirilmemesi ve gerekçe eksikliği nedenleriyle CMK 302/2 uyarınca bozulması talebidir.</w:t>
      </w:r>
    </w:p>
    <w:p>
      <w:pPr>
        <w:jc w:val="both"/>
        <w:spacing w:after="120" w:line="276" w:lineRule="auto"/>
      </w:pPr>
      <w:r>
        <w:rPr>
          <w:b/>
          <w:bCs/>
        </w:rPr>
        <w:t xml:space="preserve">TEMYİZ NEDENLERİ:</w:t>
      </w:r>
    </w:p>
    <w:p>
      <w:pPr>
        <w:jc w:val="both"/>
        <w:spacing w:after="120" w:line="276" w:lineRule="auto"/>
      </w:pPr>
      <w:r>
        <w:t xml:space="preserve">1. </w:t>
      </w:r>
      <w:r>
        <w:rPr>
          <w:b/>
          <w:bCs/>
        </w:rPr>
        <w:t xml:space="preserve">Süre ve kararın temyize açık olması:</w:t>
      </w:r>
      <w:r>
        <w:t xml:space="preserve"> Gerekçeli karar [gg.aa.20..] tarihinde tebliğ edilmiştir; başvuru CMK 291/1'deki iki haftalık süre içindedir. Hakkımda TCK 188/3 uyarınca [... yıl ... ay] hapis cezası verilmiştir; ceza beş yılı aştığından karar CMK 286/2-a ve b kapsamındaki kesin kararlardan değildir ve CMK 286/1 uyarınca temyiz edilebilir. [Bölge adliye mahkemesi ilk derece hükmünü kaldırıp yeniden hüküm kurduysa: Hüküm Dairece yeniden kurulan bir mahkûmiyet olarak da temyize açıktır.] Sanık sıfatıyla temyiz hakkım bulunmaktadır (CMK 260/1).</w:t>
      </w:r>
    </w:p>
    <w:p>
      <w:pPr>
        <w:jc w:val="both"/>
        <w:spacing w:after="120" w:line="276" w:lineRule="auto"/>
      </w:pPr>
      <w:r>
        <w:t xml:space="preserve">2. </w:t>
      </w:r>
      <w:r>
        <w:rPr>
          <w:b/>
          <w:bCs/>
        </w:rPr>
        <w:t xml:space="preserve">Temyiz nedenlerinin hukuki niteliği:</w:t>
      </w:r>
      <w:r>
        <w:t xml:space="preserve"> Aşağıdaki itirazlar olayın yeniden tartışılması için değil, bölge adliye mahkemesinin uygulamadığı ya da yanlış uyguladığı kurallar gösterilerek yazılmıştır (CMK 288/2, 294/2). Ticaret kastına, aramaya ve iletişim denetimine ilişkin itirazlarımızın her biri ayrı bir hukuk kuralına dayanmaktadır: CMK 116-119 (arama), CMK 135 (iletişimin tespiti ve dinlenmesi), CMK 217/2 ve 230/1-b (hükmün yalnız hukuka uygun ve tartışılmış delile dayanabilmesi) ve şüpheden sanığın yararlanacağı ilkesi.</w:t>
      </w:r>
    </w:p>
    <w:p>
      <w:pPr>
        <w:jc w:val="both"/>
        <w:spacing w:after="120" w:line="276" w:lineRule="auto"/>
      </w:pPr>
      <w:r>
        <w:t xml:space="preserve">3. </w:t>
      </w:r>
      <w:r>
        <w:rPr>
          <w:b/>
          <w:bCs/>
        </w:rPr>
        <w:t xml:space="preserve">İstinaf itirazlarımız cevapsız bırakılmıştır:</w:t>
      </w:r>
      <w:r>
        <w:t xml:space="preserve"> [gg.aa.20..] tarihli istinaf dilekçemizin [... numaralı] maddelerinde [ele geçen maddenin net miktarının kullanım sınırında kaldığını / arama kararının aracı kapsamadığını / kullanıcı tanığın duruşmada beyanından döndüğünü / iletişim tespiti kararının dosyada bulunmadığını] somut olarak ileri sürdük. Bölge adliye mahkemesi bu itirazları "delillerin takdirinde isabetsizlik görülmediği" kalıbıyla geçiştirmiş, hiçbirini tek tek karşılamamıştır. Uyuşturucu ticaretinde ticaret kastı ve delillerin hukuka uygunluğu hükmün temelidir; bu itirazları tartışmayan karar CMK 34/1 ve 230/1 anlamında gerekçe içermez ve CMK 289/1-g uyarınca hukuka kesin aykırıdır.</w:t>
      </w:r>
    </w:p>
    <w:p>
      <w:pPr>
        <w:jc w:val="both"/>
        <w:spacing w:after="120" w:line="276" w:lineRule="auto"/>
      </w:pPr>
      <w:r>
        <w:t xml:space="preserve">4. </w:t>
      </w:r>
      <w:r>
        <w:t xml:space="preserve">[SEÇENEK — dosyanıza uyuyorsa kullanın: arama kararının kapsamı veya arama emri yok] </w:t>
      </w:r>
      <w:r>
        <w:rPr>
          <w:b/>
          <w:bCs/>
        </w:rPr>
        <w:t xml:space="preserve">Madde, kapsamı dışında yapılan aramayla ele geçirilmiştir:</w:t>
      </w:r>
      <w:r>
        <w:t xml:space="preserve"> [gg.aa.20..] tarihli arama kararı yalnız [konutumu / işyerimi] kapsamaktadır; madde ise [kararda gösterilmeyen araçta / ortak kullanılan depoda / başka bir kişiye ait dairede] yapılan aramada bulunmuştur. Arama karar veya emrinde aranacak yer ya da eşya açıkça gösterilmelidir (CMK 119/2-b); araç konutun eklentisi değildir. [Önleme araması kararıyla adli arama yapılmış, sonradan bir adli arama kararı ya da yazılı emir alınmamıştır.] Bu aramayla elde edilen delil hükme esas alınamaz (CMK 206/2-a, 217/2). Bu delil çıkarıldığında geriye [konutta / üzerimde] usulüne uygun aramayla ele geçen [... gram] madde kalmaktadır; bu miktar ve bulunuş biçimi satma ya da başkasına verme amacını göstermez. Hukuka aykırı delile dayanan hüküm CMK 289/1-i uyarınca hukuka kesin aykırıdır.</w:t>
      </w:r>
    </w:p>
    <w:p>
      <w:pPr>
        <w:jc w:val="both"/>
        <w:spacing w:after="120" w:line="276" w:lineRule="auto"/>
      </w:pPr>
      <w:r>
        <w:t xml:space="preserve">5. </w:t>
      </w:r>
      <w:r>
        <w:t xml:space="preserve">[SEÇENEK — dosyanıza uyuyorsa kullanın: iletişim tespiti, dinleme, teknik takip] </w:t>
      </w:r>
      <w:r>
        <w:rPr>
          <w:b/>
          <w:bCs/>
        </w:rPr>
        <w:t xml:space="preserve">İletişim denetimi ve teknik takip kararları dosyada denetlenebilir hâlde değildir:</w:t>
      </w:r>
      <w:r>
        <w:t xml:space="preserve"> Hükme esas alınan [telefon görüşme tutanakları / HTS ve baz analizi / teknik takip görüntüleri] [gg.aa.20..] tarihli [dinleme / tespit / teknik izleme] kararına dayanmaktadır. Bu karar dosyada [hiç bulunmamaktadır / onaysız fotokopi olarak yer almaktadır / karar tarihinden önceki görüşmeleri de kapsayacak şekilde uygulanmıştır]. Dinleme ve kayda alma için somut delillere dayanan kuvvetli şüphe ve başka suretle delil elde edilememesi şarttır; savcı kararı yirmi dört saat içinde hâkim onayına sunulmazsa tedbir kaldırılır, tespit kayıtları imha edilir (CMK 135/1, 135/6). Teknik araçlarla izleme de ayrı bir hâkim kararını gerektirir (CMK 140). Kararın aslı ya da onaylı örneği dosyaya konmadan bu kayıtlara dayanılması hem eksik araştırma hem de hukuka aykırı delil kullanımıdır. [Müdafi bulunmadan alınan kolluk ifadem hâkim önünde doğrulanmamıştır; CMK 148/4 uyarınca hükme esas alınamaz.]</w:t>
      </w:r>
    </w:p>
    <w:p>
      <w:pPr>
        <w:jc w:val="both"/>
        <w:spacing w:after="120" w:line="276" w:lineRule="auto"/>
      </w:pPr>
      <w:r>
        <w:t xml:space="preserve">6. </w:t>
      </w:r>
      <w:r>
        <w:t xml:space="preserve">[SEÇENEK — dosyanıza uyuyorsa kullanın: kişisel kullanım] </w:t>
      </w:r>
      <w:r>
        <w:rPr>
          <w:b/>
          <w:bCs/>
        </w:rPr>
        <w:t xml:space="preserve">Eylem TCK 191/1 kapsamında kalmaktadır:</w:t>
      </w:r>
      <w:r>
        <w:t xml:space="preserve"> TCK 188/3'teki satın alma, kabul etme ve bulundurma hareketleri, kullanmak amacıyla yapıldığında TCK 191/1'in konusudur; ayrımı hareket değil amaç belirler. Dosyada satış görüşmesi, alıcı, para transferi, ayrı ayrı paketlenmiş madde ya da hassas terazi gibi kullanma dışında bir amacı gösteren tespit [yoktur]. Ele geçen [... gram net] madde, [gg.aa.20..] tarihli [kan / idrar / saç] tahlilinde kullanıcı olduğu belirlenen benim [...] günlük ihtiyacımı aşmamaktadır. Daire, satma veya başkasına verme amacını gösteren kuşku sınırlarını aşan bir delil göstermeden ticaret kabul etmiştir. Doğru kanun maddesinin seçilmemesi CMK 288/2 anlamında hukuka aykırılıktır. Eylem TCK 191 kapsamına girdiğinde kovuşturma evresinde TCK 191/8 uyarınca hükmün açıklanmasının geri bırakılması kararı verilmesi gerekir.</w:t>
      </w:r>
    </w:p>
    <w:p>
      <w:pPr>
        <w:jc w:val="both"/>
        <w:spacing w:after="120" w:line="276" w:lineRule="auto"/>
      </w:pPr>
      <w:r>
        <w:t xml:space="preserve">7. </w:t>
      </w:r>
      <w:r>
        <w:t xml:space="preserve">[SEÇENEK — dosyanıza uyuyorsa kullanın: kullanıcı tanık veya korunan tanık] </w:t>
      </w:r>
      <w:r>
        <w:rPr>
          <w:b/>
          <w:bCs/>
        </w:rPr>
        <w:t xml:space="preserve">Mahkûmiyet desteklenmemiş tanık beyanına dayanmaktadır:</w:t>
      </w:r>
      <w:r>
        <w:t xml:space="preserve"> Ticaret kabulü yalnız [kullanıcı tanık [ad]ın soruşturmada müdafisiz verdiği ve duruşmada döndüğü beyanına / hakkında tanık koruma tedbiri uygulanan tanığın beyanına] dayanmaktadır. Kimliği gizli tutulan ya da duruşma dışında dinlenen (5726 sayılı Kanun m.5/1-a, b) tanığın beyanı tek başına hükme esas teşkil etmez (5726 sayılı Kanun m.9/8). Kullanıcı tanığın kendi dosyasında TCK 192/2 kapsamında cezasızlık beklentisiyle konuşması beyanın güvenilirliğini ayrıca tartışmayı gerektirir. Tanık ile aramızda HTS kaydında bir görüşme, para hareketi ya da kamera görüntüsü yoktur. Bu itiraz istinafta da ileri sürülmüş, Daire beyanın hangi bağımsız delille desteklendiğini göstermemiştir (CMK 230/1-b).</w:t>
      </w:r>
    </w:p>
    <w:p>
      <w:pPr>
        <w:jc w:val="both"/>
        <w:spacing w:after="120" w:line="276" w:lineRule="auto"/>
      </w:pPr>
      <w:r>
        <w:t xml:space="preserve">8. </w:t>
      </w:r>
      <w:r>
        <w:t xml:space="preserve">[SEÇENEK — dosyanıza uyuyorsa kullanın: 188/4 ve 188/5 artırımları] </w:t>
      </w:r>
      <w:r>
        <w:rPr>
          <w:b/>
          <w:bCs/>
        </w:rPr>
        <w:t xml:space="preserve">Artırım nedenleri dayanaktan yoksundur:</w:t>
      </w:r>
      <w:r>
        <w:t xml:space="preserve"> TCK 188/4-b artırımı, satışın okul, yurt, hastane, kışla veya ibadethane gibi binaların sınırına iki yüz metreden yakın umuma açık bir yerde yapılmasını arar. Mesafe [kolluk tutanağında uydu fotoğrafı üzerinden kuş uçuşu / yakalanma yerinden] ölçülmüş, mutat ulaşım yolu üzerinden keşif yapılmamıştır. [188/4-a artırımı için kriminal raporda maddenin kanunda sayılan türlerden hangisi olduğu açıkça gösterilmemiştir.] [188/5 artırımı için üç veya daha fazla kişinin aynı fiili birlikte işlediği her sanık yönünden ayrıca gösterilmemiş; aynı evde bulunmak birlikte işleme sayılmıştır.] Artırımın olgusal dayanağı belirlenmeden yarı oranında artırım yapılması hukuka aykırıdır.</w:t>
      </w:r>
    </w:p>
    <w:p>
      <w:pPr>
        <w:jc w:val="both"/>
        <w:spacing w:after="120" w:line="276" w:lineRule="auto"/>
      </w:pPr>
      <w:r>
        <w:t xml:space="preserve">9. </w:t>
      </w:r>
      <w:r>
        <w:t xml:space="preserve">[SEÇENEK — dosyanıza uyuyorsa kullanın: etkin pişmanlık] </w:t>
      </w:r>
      <w:r>
        <w:rPr>
          <w:b/>
          <w:bCs/>
        </w:rPr>
        <w:t xml:space="preserve">TCK 192 hiç ya da yanlış oranda uygulanmamıştır:</w:t>
      </w:r>
      <w:r>
        <w:t xml:space="preserve"> [gg.aa.20..] tarihli ifademde maddeyi [kimden, nerede ve ne zaman] aldığımı açıkladım; bu bilgi üzerine [kişi yakalanmış / madde ele geçirilmiş] olup [tutanak tarihi ve numarası] ile sabittir. Suç haber alındıktan sonra gönüllü olarak suçun meydana çıkmasına ve diğer faillerin yakalanmasına yardım eden kişinin cezası yardımın niteliğine göre dörtte birden yarısına kadar indirilir (TCK 192/3). [Bilgi resmi makamlar haber almadan önce verildiyse: TCK 192/1 uyarınca hakkımda cezaya hükmolunmaması gerekir.] Daire bu bilginin sonuç doğurup doğurmadığını tartışmamış [ya da indirimi gerekçe göstermeden en alt orandan uygulamıştır].</w:t>
      </w:r>
    </w:p>
    <w:p>
      <w:pPr>
        <w:jc w:val="both"/>
        <w:spacing w:after="120" w:line="276" w:lineRule="auto"/>
      </w:pPr>
      <w:r>
        <w:t xml:space="preserve">10. </w:t>
      </w:r>
      <w:r>
        <w:rPr>
          <w:b/>
          <w:bCs/>
        </w:rPr>
        <w:t xml:space="preserve">Ceza tayini ve yan hükümler:</w:t>
      </w:r>
      <w:r>
        <w:t xml:space="preserve"> Temel ceza alt sınırdan [... yıl] uzaklaşılarak belirlenmiş; TCK 61/1'deki ölçütlerden hangisinin bu artışı gerektirdiği somut olarak gösterilmemiştir. Temel ceza [nitelikli hâl] gerekçe gösterilerek alt sınırdan uzaklaştırılmışsa ve o nitelikli hâlin koşulları oluşmamışsa bu gerekçe de dayanaksız kalır; ceza fiilin ağırlığıyla orantılı olmalıdır (TCK 3/1, 61/1). TCK 62 indirimi [adli sicil kaydımın bulunmaması / yargılamadaki tutumum] gibi somut olgular varken gerekçesiz reddedilmiştir (TCK 62/2). [Üzerimde ele geçen [...] TL'nin suçtan elde edildiği gösterilmeden TCK 55 uyarınca müsaderesine karar verilmiştir.] [Gözaltı ve tutuklulukta geçen süre TCK 63 uyarınca mahsup edilmemiştir.]</w:t>
      </w:r>
    </w:p>
    <w:p>
      <w:pPr>
        <w:jc w:val="both"/>
        <w:spacing w:after="120" w:line="276" w:lineRule="auto"/>
      </w:pPr>
      <w:r>
        <w:t xml:space="preserve">11. </w:t>
      </w:r>
      <w:r>
        <w:t xml:space="preserve">[SEÇENEK — dosyanıza uyuyorsa kullanın: zorunlu müdafi, duruşmasız değişiklik] </w:t>
      </w:r>
      <w:r>
        <w:rPr>
          <w:b/>
          <w:bCs/>
        </w:rPr>
        <w:t xml:space="preserve">Usule ilişkin kesin aykırılıklar:</w:t>
      </w:r>
      <w:r>
        <w:t xml:space="preserve"> [Alt sınırı beş yıldan fazla hapis gerektiren suçtan yargılandığım hâlde [gg.aa.20..] tarihli oturum zorunlu müdafi bulunmadan yapılmıştır (CMK 150/3, 289/1-e).] [Daire duruşma açmadan ilk derece mahkemesinin kabul etmediği [188/4-b artırımını / ticaret kabulünü] uygulamıştır; bu değişiklik CMK 280/1'in (a) ila (d) bentlerinde sayılan düzeltmelerden değildir ve ancak duruşmalı incelemeyle yapılabilir.]</w:t>
      </w:r>
    </w:p>
    <w:p>
      <w:pPr>
        <w:jc w:val="both"/>
        <w:spacing w:after="120" w:line="276" w:lineRule="auto"/>
      </w:pPr>
      <w:r>
        <w:t xml:space="preserve">12. </w:t>
      </w:r>
      <w:r>
        <w:rPr>
          <w:b/>
          <w:bCs/>
        </w:rPr>
        <w:t xml:space="preserve">Tebliğname ve tutukluluk:</w:t>
      </w:r>
      <w:r>
        <w:t xml:space="preserve"> Yargıtay Cumhuriyet Başsavcılığının tebliğnamesi aleyhime görüş içerirse tebliğden itibaren iki hafta içinde cevap verme hakkımı saklı tutuyorum (CMK 297/3). [Tutukluysa: [... aydır] tutukluyum; temyiz nedenlerim eylemin TCK 191/1 kapsamında kalabileceğini gösterdiğinden tutukluluğun devamı ölçüsüzdür. CMK 104/3 uyarınca dosya üzerinden yapılacak incelemeyle tahliyeme karar verilmesini istiyorum.]</w:t>
      </w:r>
    </w:p>
    <w:p>
      <w:pPr>
        <w:jc w:val="both"/>
        <w:spacing w:after="120" w:line="276" w:lineRule="auto"/>
      </w:pPr>
      <w:r>
        <w:rPr>
          <w:b/>
          <w:bCs/>
        </w:rPr>
        <w:t xml:space="preserve">HUKUKİ NEDENLER:</w:t>
      </w:r>
      <w:r>
        <w:t xml:space="preserve"> CMK m.34, 104, 116, 119, 135, 140, 148, 150, 206, 217, 230, 260, 263, 280, 286, 288, 289, 291, 294, 297, 299, 302, 303, 307; TCK m.3, 55, 61, 62, 63, 188, 191, 192; 5726 sayılı Tanık Koruma Kanunu m.9 ve ilgili mevzuat.</w:t>
      </w:r>
    </w:p>
    <w:p>
      <w:pPr>
        <w:jc w:val="both"/>
        <w:spacing w:after="120" w:line="276" w:lineRule="auto"/>
      </w:pPr>
      <w:r>
        <w:rPr>
          <w:b/>
          <w:bCs/>
        </w:rPr>
        <w:t xml:space="preserve">DELİLLER:</w:t>
      </w:r>
      <w:r>
        <w:t xml:space="preserve"> İlk derece ve bölge adliye mahkemesi dosyaları, arama kararı ve arama tutanağı, el koyma ve muhafaza tutanakları, kriminal (ekspertiz) raporu, iletişim tespiti ve dinleme kararları ile tutanakları, [HTS ve baz analizi], [kan / idrar / saç tahlil raporu], [keşif talebimize ilişkin ara karar], istinaf dilekçemiz, [varsa emsal karar künyesi].</w:t>
      </w:r>
    </w:p>
    <w:p>
      <w:pPr>
        <w:jc w:val="both"/>
        <w:spacing w:after="120" w:line="276" w:lineRule="auto"/>
      </w:pPr>
      <w:r>
        <w:rPr>
          <w:b/>
          <w:bCs/>
        </w:rPr>
        <w:t xml:space="preserve">SONUÇ VE İSTEM:</w:t>
      </w:r>
      <w:r>
        <w:t xml:space="preserve"> Yukarıda açıklanan ve Dairenizce kendiliğinden gözetilecek nedenlerle;</w:t>
      </w:r>
    </w:p>
    <w:p>
      <w:pPr>
        <w:jc w:val="both"/>
        <w:spacing w:after="120" w:line="276" w:lineRule="auto"/>
      </w:pPr>
      <w:r>
        <w:t xml:space="preserve">1. </w:t>
      </w:r>
      <w:r>
        <w:t xml:space="preserve">[Ceza on yıl veya daha fazlaysa: Temyiz incelemesinin CMK 299/1 uyarınca DURUŞMALI yapılmasına,]</w:t>
      </w:r>
    </w:p>
    <w:p>
      <w:pPr>
        <w:jc w:val="both"/>
        <w:spacing w:after="120" w:line="276" w:lineRule="auto"/>
      </w:pPr>
      <w:r>
        <w:t xml:space="preserve">2. </w:t>
      </w:r>
      <w:r>
        <w:t xml:space="preserve">Bölge adliye mahkemesi kararının CMK 302/2 uyarınca BOZULMASINA ve dosyanın CMK 304 uyarınca ilgili mahkemeye gönderilmesine; hukuka aykırı delil çıkarıldığında mahkûmiyete yeterli delil kalmadığından olayın daha fazla aydınlatılmasına gerek görülmezse CMK 303/1-a uyarınca BERAATİME,</w:t>
      </w:r>
    </w:p>
    <w:p>
      <w:pPr>
        <w:jc w:val="both"/>
        <w:spacing w:after="120" w:line="276" w:lineRule="auto"/>
      </w:pPr>
      <w:r>
        <w:t xml:space="preserve">3. </w:t>
      </w:r>
      <w:r>
        <w:t xml:space="preserve">Bu talep kabul görmezse terditli olarak; eylemin TCK 191/1 kapsamında kullanmak için uyuşturucu madde bulundurma olarak nitelendirilmesi gerektiğinden hükmün bozulmasına,</w:t>
      </w:r>
    </w:p>
    <w:p>
      <w:pPr>
        <w:jc w:val="both"/>
        <w:spacing w:after="120" w:line="276" w:lineRule="auto"/>
      </w:pPr>
      <w:r>
        <w:t xml:space="preserve">4. </w:t>
      </w:r>
      <w:r>
        <w:t xml:space="preserve">Bu da kabul görmezse; TCK 188/4 ve 188/5 artırımlarının hükümden çıkarılması, TCK 192/3 indiriminin uygulanması ya da üst orandan uygulanması, temel cezanın alt sınırdan belirlenmesi ve TCK 62 indiriminin uygulanması yönlerinden bozulmasına; CMK 307/5'teki kazanılmış hakkımın gözetilmesine,</w:t>
      </w:r>
    </w:p>
    <w:p>
      <w:pPr>
        <w:jc w:val="both"/>
        <w:spacing w:after="120" w:line="276" w:lineRule="auto"/>
      </w:pPr>
      <w:r>
        <w:t xml:space="preserve">5. </w:t>
      </w:r>
      <w:r>
        <w:t xml:space="preserve">[Tutukluysa: CMK 104/3 uyarınca TAHLİYEME, gerekirse adli kontrol tedbiri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Temyiz eden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Gerekçeli kararın tebliğ belgesi örneği</w:t>
      </w:r>
    </w:p>
    <w:p>
      <w:pPr>
        <w:jc w:val="both"/>
        <w:spacing w:after="120" w:line="276" w:lineRule="auto"/>
      </w:pPr>
      <w:r>
        <w:t xml:space="preserve">2. </w:t>
      </w:r>
      <w:r>
        <w:t xml:space="preserve">İstinaf dilekçemizin örneği</w:t>
      </w:r>
    </w:p>
    <w:p>
      <w:pPr>
        <w:jc w:val="both"/>
        <w:spacing w:after="120" w:line="276" w:lineRule="auto"/>
      </w:pPr>
      <w:r>
        <w:t xml:space="preserve">3. </w:t>
      </w:r>
      <w:r>
        <w:t xml:space="preserve">[Arama kararı ve arama tutanağı örneği]</w:t>
      </w:r>
    </w:p>
    <w:p>
      <w:pPr>
        <w:jc w:val="both"/>
        <w:spacing w:after="120" w:line="276" w:lineRule="auto"/>
      </w:pPr>
      <w:r>
        <w:t xml:space="preserve">4. </w:t>
      </w:r>
      <w:r>
        <w:t xml:space="preserve">[Tahlil raporu / tedavi kaydı]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