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 AĞIR CEZA] MAHKEMESİNE</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DAİRESİNE</w:t>
      </w:r>
    </w:p>
    <w:p>
      <w:pPr>
        <w:jc w:val="both"/>
        <w:spacing w:after="120" w:line="276" w:lineRule="auto"/>
      </w:pPr>
      <w:r>
        <w:rPr>
          <w:b/>
          <w:bCs/>
        </w:rPr>
        <w:t xml:space="preserve">DOSYA NO:</w:t>
      </w:r>
      <w:r>
        <w:t xml:space="preserve"> Esas: [Yıl/Sıra], Karar: [Yıl/Sıra]</w:t>
      </w:r>
    </w:p>
    <w:p>
      <w:pPr>
        <w:jc w:val="both"/>
        <w:spacing w:after="120" w:line="276" w:lineRule="auto"/>
      </w:pPr>
      <w:r>
        <w:rPr>
          <w:b/>
          <w:bCs/>
        </w:rPr>
        <w:t xml:space="preserve">KARAR TARİHİ:</w:t>
      </w:r>
      <w:r>
        <w:t xml:space="preserve"> [gg.aa.20..]</w:t>
      </w:r>
    </w:p>
    <w:p>
      <w:pPr>
        <w:jc w:val="both"/>
        <w:spacing w:after="120" w:line="276" w:lineRule="auto"/>
      </w:pPr>
      <w:r>
        <w:rPr>
          <w:b/>
          <w:bCs/>
        </w:rPr>
        <w:t xml:space="preserve">GEREKÇELİ KARARIN TEBLİĞ TARİHİ:</w:t>
      </w:r>
      <w:r>
        <w:t xml:space="preserve"> [gg.aa.2026] [sanığa / müdafiye; tebligat mazbatası ya da e-tebligat kaydındaki tarih]</w:t>
      </w:r>
    </w:p>
    <w:p>
      <w:pPr>
        <w:jc w:val="both"/>
        <w:spacing w:after="120" w:line="276" w:lineRule="auto"/>
      </w:pPr>
      <w:r>
        <w:rPr>
          <w:b/>
          <w:bCs/>
        </w:rPr>
        <w:t xml:space="preserve">İSTİNAF YOLUNA BAŞVURAN (SANIK):</w:t>
      </w:r>
      <w:r>
        <w:t xml:space="preserve"> [Ad Soyad], T.C. Kimlik No: [...........], Adres: [...........] [tutukluysa: halen [.....] Ceza İnfaz Kurumunda tutuklu]</w:t>
      </w:r>
    </w:p>
    <w:p>
      <w:pPr>
        <w:jc w:val="both"/>
        <w:spacing w:after="120" w:line="276" w:lineRule="auto"/>
      </w:pPr>
      <w:r>
        <w:rPr>
          <w:b/>
          <w:bCs/>
        </w:rPr>
        <w:t xml:space="preserve">MÜDAFİİ:</w:t>
      </w:r>
      <w:r>
        <w:t xml:space="preserve"> [varsa: Av. Ad Soyad, adres]</w:t>
      </w:r>
    </w:p>
    <w:p>
      <w:pPr>
        <w:jc w:val="both"/>
        <w:spacing w:after="120" w:line="276" w:lineRule="auto"/>
      </w:pPr>
      <w:r>
        <w:rPr>
          <w:b/>
          <w:bCs/>
        </w:rPr>
        <w:t xml:space="preserve">KARŞI TARAF:</w:t>
      </w:r>
      <w:r>
        <w:t xml:space="preserve"> Kamu Hukuku [ve katılan Ad Soyad / şirket unvanı]</w:t>
      </w:r>
    </w:p>
    <w:p>
      <w:pPr>
        <w:jc w:val="both"/>
        <w:spacing w:after="120" w:line="276" w:lineRule="auto"/>
      </w:pPr>
      <w:r>
        <w:rPr>
          <w:b/>
          <w:bCs/>
        </w:rPr>
        <w:t xml:space="preserve">SUÇ:</w:t>
      </w:r>
      <w:r>
        <w:t xml:space="preserve"> Hırsızlık [TCK 141/1 / 142/1-.. / 142/2-..; varsa TCK 143, 43, 35, 58]</w:t>
      </w:r>
    </w:p>
    <w:p>
      <w:pPr>
        <w:jc w:val="both"/>
        <w:spacing w:after="120" w:line="276" w:lineRule="auto"/>
      </w:pPr>
      <w:r>
        <w:rPr>
          <w:b/>
          <w:bCs/>
        </w:rPr>
        <w:t xml:space="preserve">HÜKÜM:</w:t>
      </w:r>
      <w:r>
        <w:t xml:space="preserve"> [.. yıl .. ay] hapis cezası [/ hükmün açıklanmasının geri bırakılması / hapisten çevrilen adli para cezası] [ve mükerrirlere özgü infaz rejimi]</w:t>
      </w:r>
    </w:p>
    <w:p>
      <w:pPr>
        <w:jc w:val="both"/>
        <w:spacing w:after="120" w:line="276" w:lineRule="auto"/>
      </w:pPr>
      <w:r>
        <w:rPr>
          <w:b/>
          <w:bCs/>
        </w:rPr>
        <w:t xml:space="preserve">KONU:</w:t>
      </w:r>
      <w:r>
        <w:t xml:space="preserve"> Yukarıda bilgileri yazılı hükmün, aşağıda açıklanan usul ve esasa ilişkin hukuka aykırılıklar nedeniyle duruşma açılarak incelenmesi, kaldırılması ve sanığın beraatine, olmazsa lehe hükümler uygulanarak yeniden hüküm kurulmasına karar verilmesi istemidir.</w:t>
      </w:r>
    </w:p>
    <w:p>
      <w:pPr>
        <w:jc w:val="both"/>
        <w:spacing w:after="120" w:line="276" w:lineRule="auto"/>
      </w:pPr>
      <w:r>
        <w:rPr>
          <w:b/>
          <w:bCs/>
        </w:rPr>
        <w:t xml:space="preserve">İSTİNAF NEDENLERİ:</w:t>
      </w:r>
    </w:p>
    <w:p>
      <w:pPr>
        <w:jc w:val="both"/>
        <w:spacing w:after="120" w:line="276" w:lineRule="auto"/>
      </w:pPr>
      <w:r>
        <w:t xml:space="preserve">1. </w:t>
      </w:r>
      <w:r>
        <w:rPr>
          <w:b/>
          <w:bCs/>
        </w:rPr>
        <w:t xml:space="preserve">Başvuru süresindedir ve hüküm istinafa açıktır:</w:t>
      </w:r>
      <w:r>
        <w:t xml:space="preserve"> Gerekçeli karar [sanığa / müdafiye] [gg.aa.2026] tarihinde tebliğ edilmiştir; iki haftalık süre bu tarihten işler ve dilekçe süresi içinde hükmü veren mahkemeye verilmiştir (CMK 273/1). [Sanık tutukludur; dilekçe kurum müdürlüğüne verilmiş ve deftere kaydedilmiştir (CMK 263).] Hüküm hapis cezasına ilişkin olduğundan CMK 272/3-a'daki parasal sınır uygulanmaz; hapisten çevrilen adli para cezası da istinaf edilebilir. [Mahkemenin [gg.aa.20..] tarihli celsede tanık dinletme / kriminal inceleme talebimizi reddeden ara kararı hükme esas olduğundan bu kararı da hükümle birlikte istinaf ediyoruz (CMK 272/2).]</w:t>
      </w:r>
    </w:p>
    <w:p>
      <w:pPr>
        <w:jc w:val="both"/>
        <w:spacing w:after="120" w:line="276" w:lineRule="auto"/>
      </w:pPr>
      <w:r>
        <w:t xml:space="preserve">2. </w:t>
      </w:r>
      <w:r>
        <w:rPr>
          <w:b/>
          <w:bCs/>
        </w:rPr>
        <w:t xml:space="preserve">Failin kimliği delille kurulmamıştır:</w:t>
      </w:r>
      <w:r>
        <w:t xml:space="preserve"> Mahkeme, sanığın eşyayı alan kişi olduğunu gerekçeli kararın [..]. sayfasında [kolluğun kamera izleme tutanağına / müştekinin teşhisine / eşyanın sanıkta bulunmasına] dayandırmıştır. Görüntünün ham hâli duruşmaya getirilip izlenmemiş, yalnız kolluk tutanağı okunmuştur. Tutanaktaki "kıyafet ve fiziki görünüm benzerliği" ifadesi bir tespit değil, tutanağı yazan görevlinin yorumudur. Hâkim yalnız duruşmaya getirilip huzurunda tartışılan delille hüküm kurabilir (CMK 217/1). İzlenmemiş bir kaydın özeti bu şartı karşılamaz ve mahkûmiyetin dayanağı olamaz.</w:t>
      </w:r>
    </w:p>
    <w:p>
      <w:pPr>
        <w:jc w:val="both"/>
        <w:spacing w:after="120" w:line="276" w:lineRule="auto"/>
      </w:pPr>
      <w:r>
        <w:t xml:space="preserve">3. </w:t>
      </w:r>
      <w:r>
        <w:rPr>
          <w:b/>
          <w:bCs/>
        </w:rPr>
        <w:t xml:space="preserve">Delil ve savunma talepleri karşılıksız bırakılmıştır (eksik araştırma):</w:t>
      </w:r>
      <w:r>
        <w:t xml:space="preserve"> Sanık ve müdafii [gg.aa.20..] tarihli celsede; görüntüdeki kişi ile sanığın fotoğraflarının kriminal birimde karşılaştırılmasını, olay saatine ait [baz istasyonu / iş yeri giriş-çıkış / ulaşım kartı] kaydının getirtilmesini ve [tanık Ad Soyad]'ın dinlenmesini istemiştir. Mahkeme bu talepleri [CMK 206/2'deki ret nedenlerinden hiçbirini göstermeden reddetmiş / hiç karara bağlamamış]tır. Delil isteminin geç bildirilmesi ret nedeni değildir (CMK 207/1). Bu deliller sanığı olay yerinden uzak gösterebilecek nitelikte olduğundan Dairenizce duruşmada toplanmalıdır (CMK 281/2).</w:t>
      </w:r>
    </w:p>
    <w:p>
      <w:pPr>
        <w:jc w:val="both"/>
        <w:spacing w:after="120" w:line="276" w:lineRule="auto"/>
      </w:pPr>
      <w:r>
        <w:t xml:space="preserve">4. </w:t>
      </w:r>
      <w:r>
        <w:rPr>
          <w:b/>
          <w:bCs/>
        </w:rPr>
        <w:t xml:space="preserve">Teşhis usulüne uygun değildir ve çelişki tartışılmamıştır:</w:t>
      </w:r>
      <w:r>
        <w:t xml:space="preserve"> Müşteki ya da tanık, sanığı [kolluk binasında tek başına görerek / tek bir fotoğraftan] teşhis etmiştir. Teşhis eden kişi ilk ifadesinde faili [farklı yaşta / farklı boyda / sakallı] olarak tarif etmiş, olay anında faili [kaç saniye, hangi mesafeden, hangi ışıkta] görmüştür. Gerekçede bu çelişkinin neden önemsenmediği açıklanmamış, teşhis tutanağı dışında sanığı olay yerine bağlayan parmak izi, DNA ya da başka bir iz gösterilmemiştir. Hükme esas alınan ve reddedilen deliller gerekçede ayrı ayrı gösterilmelidir (CMK 230/1-b).</w:t>
      </w:r>
    </w:p>
    <w:p>
      <w:pPr>
        <w:jc w:val="both"/>
        <w:spacing w:after="120" w:line="276" w:lineRule="auto"/>
      </w:pPr>
      <w:r>
        <w:t xml:space="preserve">5. </w:t>
      </w:r>
      <w:r>
        <w:rPr>
          <w:b/>
          <w:bCs/>
        </w:rPr>
        <w:t xml:space="preserve">Hukuka aykırı delile dayanılmıştır:</w:t>
      </w:r>
      <w:r>
        <w:t xml:space="preserve"> [Eşyanın ele geçirildiği konut / işyeri araması hâkim kararı ya da gecikmede sakınca bulunan hâlde savcının yazılı emri olmadan yapılmıştır (CMK 119/1).] Bu aramanın tutanağı ve aramayla bulunan eşya hukuka uygun delil değildir (CMK 206/2-a, 217/2). [Sanığın kolluk ifadesi müdafi olmadan alınmış, duruşmada doğrulanmamıştır; hükme esas alınamaz (CMK 148/4).] Mahkeme, hukuka aykırı yöntemle elde edilen delilleri gerekçede ayrıca ve açıkça göstermesi gerekirken (CMK 230/1-b) bu delilleri mahkûmiyetin temeline koymuştur. Hükmün hukuka aykırı delile dayanması hukuka kesin aykırılıktır (CMK 289/1-i).</w:t>
      </w:r>
    </w:p>
    <w:p>
      <w:pPr>
        <w:jc w:val="both"/>
        <w:spacing w:after="120" w:line="276" w:lineRule="auto"/>
      </w:pPr>
      <w:r>
        <w:t xml:space="preserve">6. </w:t>
      </w:r>
      <w:r>
        <w:rPr>
          <w:b/>
          <w:bCs/>
        </w:rPr>
        <w:t xml:space="preserve">Suçun unsurları tek tek gerekçelendirilmemiştir:</w:t>
      </w:r>
      <w:r>
        <w:t xml:space="preserve"> TCK 141/1 dört unsur arar: başkasına ait taşınır mal, zilyedin rızasının yokluğu, malın bulunduğu yerden alınması ve yarar sağlama maksadı. Kararda yalnız eşyanın kaybolduğu ve sanığın olay yerinde bulunduğu tespit edilmiş, [zilyedin rızası / alma eylemi / yarar sağlama maksadı] hiç tartışılmamıştır. Müşteki [gg.aa.20..] tarihli ifadesinde sanığın [iş yerine serbestçe girip çıktığını / eşyayı daha önce de kullandığını / eşyayı kendisinin verdiğini] söylemiştir. Bu beyan karşısında rızanın yokluğu ispatlanmadan hırsızlık kabul edilemez. [Eşya sanığa muhafaza ya da kullanım için bırakılmışsa eylem ancak şikâyete bağlı güveni kötüye kullanma (TCK 155/1) olarak tartışılabilir.]</w:t>
      </w:r>
    </w:p>
    <w:p>
      <w:pPr>
        <w:jc w:val="both"/>
        <w:spacing w:after="120" w:line="276" w:lineRule="auto"/>
      </w:pPr>
      <w:r>
        <w:t xml:space="preserve">7. </w:t>
      </w:r>
      <w:r>
        <w:rPr>
          <w:b/>
          <w:bCs/>
        </w:rPr>
        <w:t xml:space="preserve">Nitelikli hâlin olgusu ayrıca ispatlanmamıştır (TCK 142):</w:t>
      </w:r>
      <w:r>
        <w:t xml:space="preserve"> Mahkeme [142/1-e / 142/2-b / 142/2-d / 142/2-h] bendini uygulamış, ancak bu bendi doğuran olguyu hangi delile dayandırdığını yazmamıştır. Nitelikli hâl, hırsızlığın varlığından ayrı bir vakıadır ve kendi deliliyle ispatlanır. Olay yeri fotoğrafı, kroki ya da keşif olmadan eşyanın bina veya eklentisi içinde muhafaza altında olduğu kabul edilemez. Kapı ya da kilitte zorlama izi bilirkişiye incelettirilmeden 142/2-d uygulanamaz. Eşya elde veya üstte taşınmıyorsa çekip alma söz konusu olmaz. Nitelikli hâl düşerse eylem bir ila üç yıl hapis gerektiren TCK 141/1 kapsamına döner.</w:t>
      </w:r>
    </w:p>
    <w:p>
      <w:pPr>
        <w:jc w:val="both"/>
        <w:spacing w:after="120" w:line="276" w:lineRule="auto"/>
      </w:pPr>
      <w:r>
        <w:t xml:space="preserve">8. </w:t>
      </w:r>
      <w:r>
        <w:rPr>
          <w:b/>
          <w:bCs/>
        </w:rPr>
        <w:t xml:space="preserve">Gece vakti artırımı (TCK 143) şüpheye dayanmaktadır:</w:t>
      </w:r>
      <w:r>
        <w:t xml:space="preserve"> Gece vakti, güneşin batmasından bir saat sonra başlayıp doğmasından bir saat önce biten süredir (TCK 6/1-e). Müşteki eşyayı en son saat [..:..]'de gördüğünü, yokluğunu [..:..]'de fark ettiğini söylemiştir. Olay günü [il] için resmi güneş doğuş ve batış çizelgesi dosyaya alınmamış, fiilin bu aralığın hangi kısmında işlendiği belirlenmemiştir. Saat aralığının bir bölümü gündüze denk geldiğinden yarı oranındaki artırım şüpheden sanık yararlanır ilkesine aykırıdır.</w:t>
      </w:r>
    </w:p>
    <w:p>
      <w:pPr>
        <w:jc w:val="both"/>
        <w:spacing w:after="120" w:line="276" w:lineRule="auto"/>
      </w:pPr>
      <w:r>
        <w:t xml:space="preserve">9. </w:t>
      </w:r>
      <w:r>
        <w:rPr>
          <w:b/>
          <w:bCs/>
        </w:rPr>
        <w:t xml:space="preserve">Suç vasfı yanlış belirlenmiştir:</w:t>
      </w:r>
      <w:r>
        <w:t xml:space="preserve"> Kabul edilen olay biçimine göre bile eylem hırsızlık değildir. [Sanık kasiyerin dikkatini dağıtıp para üstünü fazladan almışsa: mağdur parayı kendi iradesiyle vermiştir; aldatma yoğunluğuna ulaşan hileli davranış varsa eylem dolandırıcılık (TCK 157/1) olarak nitelendirilmelidir.] [Eşya kaybedilmiş ya da unutulmuşsa: eylem şikâyete bağlı kaybedilmiş eşya üzerinde tasarruf (TCK 160/1) suçudur.] [Sanık eşyayı satın almışsa: almaya iştirak etmeden çalıntı eşyayı satın almak ancak TCK 165/1 kapsamında tartışılabilir ve bu durumda da eşyanın suçtan geldiğinin bilindiği ispatlanmalıdır.]</w:t>
      </w:r>
    </w:p>
    <w:p>
      <w:pPr>
        <w:jc w:val="both"/>
        <w:spacing w:after="120" w:line="276" w:lineRule="auto"/>
      </w:pPr>
      <w:r>
        <w:t xml:space="preserve">10. </w:t>
      </w:r>
      <w:r>
        <w:t xml:space="preserve">[SEÇENEK — dosyanıza uyuyorsa kullanın: kullanma hırsızlığı] Sanık [aracı / bisikleti / aleti] kısa süre kullanıp yerine bırakmak amacıyla almış, eşya [.. saat] sonra [aynı yerde / zilyedine teslim edilerek] bulunmuştur. Eşya başka bir suçta kullanılmamıştır. Bu durumda verilecek ceza şikâyet üzerine yarı oranına kadar indirilir (TCK 146/1). Mahkeme geri verme amacını gösteren bu olguları hiç tartışmamıştır.</w:t>
      </w:r>
    </w:p>
    <w:p>
      <w:pPr>
        <w:jc w:val="both"/>
        <w:spacing w:after="120" w:line="276" w:lineRule="auto"/>
      </w:pPr>
      <w:r>
        <w:t xml:space="preserve">11. </w:t>
      </w:r>
      <w:r>
        <w:t xml:space="preserve">[SEÇENEK — dosyanıza uyuyorsa kullanın: değer azlığı ya da zorunlu ihtiyaç] Alınan eşyanın değeri [tutar] TL'dir [fatura / değer tespit tutanağı]. Mahkeme, malın değerinin azlığı nedeniyle indirim yapılmasını ya da ceza vermekten vazgeçilmesini (TCK 145) tartışmamış, değer tespiti için bilirkişiye de başvurmamıştır. [Alınan şey [gıda / ilaç / bebek maması] olup ağır ve acil bir ihtiyacı karşılamaya yöneliktir; TCK 147 değerlendirilmemiştir.]</w:t>
      </w:r>
    </w:p>
    <w:p>
      <w:pPr>
        <w:jc w:val="both"/>
        <w:spacing w:after="120" w:line="276" w:lineRule="auto"/>
      </w:pPr>
      <w:r>
        <w:t xml:space="preserve">12. </w:t>
      </w:r>
      <w:r>
        <w:rPr>
          <w:b/>
          <w:bCs/>
        </w:rPr>
        <w:t xml:space="preserve">Etkin pişmanlık uygulanmamış ya da oranı gerekçesiz belirlenmiştir (TCK 168):</w:t>
      </w:r>
      <w:r>
        <w:t xml:space="preserve"> Sanık eşyayı [gg.aa.20..] tarihinde bizzat [müştekiye iade etmiş / bedelini ödemiş / eşyanın bulunduğu yeri göstermiş]tir [teslim tutanağı, dekont, müşteki beyanı]. Zarar iddianamenin kabulünden önce giderildiyse cezanın üçte ikisine kadar (TCK 168/1), hükümden önce giderildiyse yarısına kadar (TCK 168/2) indirim yapılır. Mahkeme [indirimi hiç uygulamamış / en düşük oranı neden seçtiğini açıklamamış]tır. [Kısmi iadede müştekinin rızası sorulmamıştır (TCK 168/4).] [Eşya üçüncü kişiye satılmışsa, o kişinin zararının da giderildiğini gösteren belge ektedir.]</w:t>
      </w:r>
    </w:p>
    <w:p>
      <w:pPr>
        <w:jc w:val="both"/>
        <w:spacing w:after="120" w:line="276" w:lineRule="auto"/>
      </w:pPr>
      <w:r>
        <w:t xml:space="preserve">13. </w:t>
      </w:r>
      <w:r>
        <w:rPr>
          <w:b/>
          <w:bCs/>
        </w:rPr>
        <w:t xml:space="preserve">Ceza hesabı hukuka aykırıdır:</w:t>
      </w:r>
      <w:r>
        <w:t xml:space="preserve"> Temel ceza alt sınırdan [..] ay uzaklaşılarak belirlenmiş, ancak TCK 61/1'deki ölçütlerden hangisinin bunu gerektirdiği yazılmamıştır. Gece vakti ya da nitelikli hâl gibi suçun unsuru veya artırım sebebi olan bir olgu, temel cezayı ayrıca yükseltmek için kullanılamaz (TCK 61/3). Sanığın sabıkasız oluşu, pişmanlığı ve duruşmadaki tutumu ortadayken takdiri indirim gerekçesiz reddedilmiştir; kanun bu nedenlerin kararda gösterilmesini ister (TCK 62/2). [Aynı mağdura karşı farklı zamanlarda işlenen eylemler için ayrı ayrı ceza verilmiş, zincirleme suç (TCK 43/1) değerlendirilmemiştir.] [Eşya zilyedin hâkimiyet alanından çıkmadan ele geçtiğinden eylem teşebbüste kalmıştır (TCK 35/2).] [Gözaltı ve tutuklulukta geçen süre hükümde cezadan mahsup edilmemiştir (TCK 63/1).]</w:t>
      </w:r>
    </w:p>
    <w:p>
      <w:pPr>
        <w:jc w:val="both"/>
        <w:spacing w:after="120" w:line="276" w:lineRule="auto"/>
      </w:pPr>
      <w:r>
        <w:t xml:space="preserve">14. </w:t>
      </w:r>
      <w:r>
        <w:rPr>
          <w:b/>
          <w:bCs/>
        </w:rPr>
        <w:t xml:space="preserve">Tekerrür hükmü yanlış uygulanmıştır (TCK 58):</w:t>
      </w:r>
      <w:r>
        <w:t xml:space="preserve"> Mahkeme sanığın adli sicil kaydındaki [mahkeme, karar tarihi] ilamını tekerrüre esas almıştır. [Bu ilam inceleme konusu suçun işlendiği [gg.aa.20..] tarihinden sonra kesinleşmiştir; önceki hüküm yeni suçtan önce kesinleşmedikçe tekerrür olmaz (TCK 58/1).] [Önceki ceza [gg.aa.20..] tarihinde infaz edilmiş ya da erteleme denetim süresi iyi hâlle geçirilerek infaz edilmiş sayılmıştır (TCK 51/8); yeni suç bu tarihten itibaren üç yıl (beş yıldan fazla hapiste beş yıl) geçtikten sonra işlenmiştir (TCK 58/2).] [Önceki suç sanık on sekiz yaşını doldurmadan işlenmiştir (TCK 58/5).] Mükerrirlere özgü infaz rejimi ve infaz sonrası denetimli serbestlik hükümden çıkarılmalıdır.</w:t>
      </w:r>
    </w:p>
    <w:p>
      <w:pPr>
        <w:jc w:val="both"/>
        <w:spacing w:after="120" w:line="276" w:lineRule="auto"/>
      </w:pPr>
      <w:r>
        <w:t xml:space="preserve">15. </w:t>
      </w:r>
      <w:r>
        <w:rPr>
          <w:b/>
          <w:bCs/>
        </w:rPr>
        <w:t xml:space="preserve">HAGB, erteleme ve seçenek yaptırım istemleri gerekçesiz reddedilmiştir:</w:t>
      </w:r>
      <w:r>
        <w:t xml:space="preserve"> Hükmolunan ceza iki yıl veya daha azdır; sanık daha önce kasıtlı bir suçtan mahkûm olmamıştır (CMK 231/5, 231/6). Mahkeme HAGB'yi yalnız "zararın giderilmediği" ya da "kanaat oluşmadığı" gerekçesiyle reddetmiştir. Oysa zararın miktarı belirlenmemiş, sanığa bunu karşılayıp karşılamayacağı sorulmamış, denetim süresince aylık taksitle ödeme imkânı (CMK 231/9) hiç tartışılmamıştır. HAGB uygulanmazsa ertelemenin (TCK 51/1), bir yıl veya daha az hapiste seçenek yaptırımın (TCK 50/1) neden reddedildiği de somut olarak gösterilmelidir (CMK 230/1-d).</w:t>
      </w:r>
    </w:p>
    <w:p>
      <w:pPr>
        <w:jc w:val="both"/>
        <w:spacing w:after="120" w:line="276" w:lineRule="auto"/>
      </w:pPr>
      <w:r>
        <w:t xml:space="preserve">16. </w:t>
      </w:r>
      <w:r>
        <w:t xml:space="preserve">[SEÇENEK — dosyanıza uyuyorsa kullanın: uzlaştırma yapılmadı] Eylem [ilk derece kararında / Dairenizce yapılacak nitelendirmeyle] TCK 141/1 kapsamındadır. Temel hâldeki hırsızlık uzlaştırma kapsamındadır (CMK 253/1-b). Aynı mağdura karşı uzlaştırma dışı bir suç birlikte işlenmemiştir (CMK 253/3). Kovuşturma aşamasında dosya uzlaştırma bürosuna gönderilmemiştir (CMK 254/1). Uzlaştırma usulünün uygulanmaması hükmün bozulmasını gerektirir (CMK 280/1-f).</w:t>
      </w:r>
    </w:p>
    <w:p>
      <w:pPr>
        <w:jc w:val="both"/>
        <w:spacing w:after="120" w:line="276" w:lineRule="auto"/>
      </w:pPr>
      <w:r>
        <w:t xml:space="preserve">17. </w:t>
      </w:r>
      <w:r>
        <w:t xml:space="preserve">[SEÇENEK — dosyanıza uyuyorsa kullanın: aile içi olay] Eşya, sanığın [eşine / annesine / babasına / aynı konutta yaşayan kardeşine] aittir ve aralarında ayrılık kararı yoktur; sanık hakkında cezaya hükmolunamaz (TCK 167/1). [Aynı konutta yaşamayan kardeş ya da 167/2'de sayılan akraba söz konusuysa kovuşturma şikâyete bağlıdır ve şikâyet varsa ceza yarı oranında indirilir; şikâyet [yoktur / geri alınmıştır], bu nedenle davanın düşmesi gerekir (TCK 73/4, CMK 223/8).]</w:t>
      </w:r>
    </w:p>
    <w:p>
      <w:pPr>
        <w:jc w:val="both"/>
        <w:spacing w:after="120" w:line="276" w:lineRule="auto"/>
      </w:pPr>
      <w:r>
        <w:t xml:space="preserve">18. </w:t>
      </w:r>
      <w:r>
        <w:rPr>
          <w:b/>
          <w:bCs/>
        </w:rPr>
        <w:t xml:space="preserve">Gerekçe yetersizdir:</w:t>
      </w:r>
      <w:r>
        <w:t xml:space="preserve"> Kararda sanığın savunması ve delil talepleri özetlenmiş, ancak neden reddedildikleri açıklanmamıştır. Mahkûmiyet hükmünün gerekçesinde iddia ve savunmanın, delillerin tartışılmasının ve ulaşılan kanaatin yer alması zorunludur (CMK 230/1). Gerekçe içermeyen hüküm hukuka kesin aykırıdır (CMK 289/1-g) ve bozmayı gerektirir (CMK 280/1-e).</w:t>
      </w:r>
    </w:p>
    <w:p>
      <w:pPr>
        <w:jc w:val="both"/>
        <w:spacing w:after="120" w:line="276" w:lineRule="auto"/>
      </w:pPr>
      <w:r>
        <w:rPr>
          <w:b/>
          <w:bCs/>
        </w:rPr>
        <w:t xml:space="preserve">HUKUKİ NEDENLER:</w:t>
      </w:r>
      <w:r>
        <w:t xml:space="preserve"> TCK m.6/1-e, 35, 43, 50, 51, 58, 61, 62, 63, 141-147, 155, 157, 160, 165, 167, 168; CMK m.119, 148, 206, 207, 217, 230, 231, 253, 254, 263, 272, 273, 280, 281, 283, 289 ve ilgili mevzuat.</w:t>
      </w:r>
    </w:p>
    <w:p>
      <w:pPr>
        <w:jc w:val="both"/>
        <w:spacing w:after="120" w:line="276" w:lineRule="auto"/>
      </w:pPr>
      <w:r>
        <w:rPr>
          <w:b/>
          <w:bCs/>
        </w:rPr>
        <w:t xml:space="preserve">DELİLLER:</w:t>
      </w:r>
      <w:r>
        <w:t xml:space="preserve"> Kamera kaydının ham hâli, kriminal karşılaştırma raporu, teşhis tutanağı, olay yeri inceleme raporu ve fotoğrafları, [baz istasyonu kaydı], [güneş doğuş-batış çizelgesi], [değer tespiti], [iade tutanağı / dekont / müşteki beyanı], adli sicil kaydı ve tekerrüre esas ilamın kesinleşme şerhi, tanık [Ad Soyad], [varsa emsal karar künyesi].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Davanın yeniden görülmesine ve duruşma açılmasına (CMK 280/1-g); [kamera kaydının ham hâlinin getirtilip kriminal incelemeye gönderilmesine, tanık Ad Soyad'ın dinlenmesine, baz istasyonu kaydının ve güneş doğuş-batış çizelgesinin getirtilmesine] (CMK 281/2),</w:t>
      </w:r>
    </w:p>
    <w:p>
      <w:pPr>
        <w:jc w:val="both"/>
        <w:spacing w:after="120" w:line="276" w:lineRule="auto"/>
      </w:pPr>
      <w:r>
        <w:t xml:space="preserve">2. </w:t>
      </w:r>
      <w:r>
        <w:t xml:space="preserve">Duruşma sonunda ilk derece mahkemesi hükmünün kaldırılarak (CMK 280/2) suçun sanık tarafından işlendiği sabit olmadığından CMK 223/2-e, [kast ya da yarar sağlama maksadı bulunmadığından 223/2-c], [fiil suç olarak tanımlanmadığından 223/2-a] uyarınca sanığın BERAATİNE, [TCK 167/1 kapsamında şahsi cezasızlık sebebi bulunduğundan ceza verilmesine yer olmadığına (CMK 223/4-b)], [TCK 167/2 kapsamında şikâyet bulunmadığından ya da geri alındığından davanın düşmesine (CMK 223/8)], [değer azlığı nedeniyle ceza vermekten vazgeçilerek ceza verilmesine yer olmadığına (TCK 145, CMK 223/4-d)],</w:t>
      </w:r>
    </w:p>
    <w:p>
      <w:pPr>
        <w:jc w:val="both"/>
        <w:spacing w:after="120" w:line="276" w:lineRule="auto"/>
      </w:pPr>
      <w:r>
        <w:t xml:space="preserve">3. </w:t>
      </w:r>
      <w:r>
        <w:t xml:space="preserve">[Gerekçe yokluğu, hukuka aykırı delil ya da uzlaştırma yapılmaması hâlinde: hükmün CMK 280/1-e veya 280/1-f uyarınca BOZULARAK dosyanın ilk derece mahkemesine gönderilmesine],</w:t>
      </w:r>
    </w:p>
    <w:p>
      <w:pPr>
        <w:jc w:val="both"/>
        <w:spacing w:after="120" w:line="276" w:lineRule="auto"/>
      </w:pPr>
      <w:r>
        <w:t xml:space="preserve">4. </w:t>
      </w:r>
      <w:r>
        <w:t xml:space="preserve">Bu istemler kabul görmezse terditli olarak; nitelikli hâlin ve TCK 143 artırımının çıkarılarak eylemin TCK 141/1 [ya da TCK 144, 146, 157, 160, 165] kapsamında nitelendirilmesine, temel cezanın alt sınırdan belirlenmesine, TCK [35], [43], 145, 168 ve 62 hükümlerinin uygulanmasına, tekerrür hükmünün çıkarılmasına ve gözaltı ile tutuklulukta geçen sürenin mahsubuna,</w:t>
      </w:r>
    </w:p>
    <w:p>
      <w:pPr>
        <w:jc w:val="both"/>
        <w:spacing w:after="120" w:line="276" w:lineRule="auto"/>
      </w:pPr>
      <w:r>
        <w:t xml:space="preserve">5. </w:t>
      </w:r>
      <w:r>
        <w:t xml:space="preserve">[Etkin pişmanlık ya da akrabalık gibi araştırma gerektirmeyen şahsi bir indirim veya cezasızlık sebebi dosyadan anlaşılıyorsa: hukuka aykırılığın CMK 280/1-c uyarınca düzeltilmesine],</w:t>
      </w:r>
    </w:p>
    <w:p>
      <w:pPr>
        <w:jc w:val="both"/>
        <w:spacing w:after="120" w:line="276" w:lineRule="auto"/>
      </w:pPr>
      <w:r>
        <w:t xml:space="preserve">6. </w:t>
      </w:r>
      <w:r>
        <w:t xml:space="preserve">Hükmün açıklanmasının geri bırakılmasına (CMK 231/5, gerekirse 231/9 uyarınca taksitle ödeme koşuluyla); bu mümkün görülmezse cezanın ertelenmesine (TCK 51/1) ya da seçenek yaptırıma çevrilmesine (TCK 50/1),</w:t>
      </w:r>
    </w:p>
    <w:p>
      <w:pPr>
        <w:jc w:val="both"/>
        <w:spacing w:after="120" w:line="276" w:lineRule="auto"/>
      </w:pPr>
      <w:r>
        <w:t xml:space="preserve">7. </w:t>
      </w:r>
      <w:r>
        <w:t xml:space="preserve">[Sanık tutuklu ise: tutukluluk hâlinin değerlendirilerek tahliyesine, gerekirse adli kontrol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İstinaf yoluna başvuran sanık</w:t>
      </w:r>
    </w:p>
    <w:p>
      <w:pPr>
        <w:jc w:val="right"/>
        <w:spacing w:after="120" w:line="276" w:lineRule="auto"/>
      </w:pPr>
      <w:r>
        <w:t xml:space="preserve">[Ad Soyad / İmza]</w:t>
      </w:r>
    </w:p>
    <w:p>
      <w:pPr>
        <w:jc w:val="right"/>
        <w:spacing w:after="120" w:line="276" w:lineRule="auto"/>
      </w:pPr>
      <w:r>
        <w:t xml:space="preserve">[varsa: Müdafii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kararın ve tebliğ mazbatasının örneği]</w:t>
      </w:r>
    </w:p>
    <w:p>
      <w:pPr>
        <w:jc w:val="both"/>
        <w:spacing w:after="120" w:line="276" w:lineRule="auto"/>
      </w:pPr>
      <w:r>
        <w:t xml:space="preserve">2. </w:t>
      </w:r>
      <w:r>
        <w:t xml:space="preserve">[Kamera kaydının bulunduğu yer ve saat bilgisi, kriminal inceleme talebinin örneği]</w:t>
      </w:r>
    </w:p>
    <w:p>
      <w:pPr>
        <w:jc w:val="both"/>
        <w:spacing w:after="120" w:line="276" w:lineRule="auto"/>
      </w:pPr>
      <w:r>
        <w:t xml:space="preserve">3. </w:t>
      </w:r>
      <w:r>
        <w:t xml:space="preserve">[İade tutanağı, ödeme dekontu, müştekinin zararın giderildiğine ilişkin beyanı]</w:t>
      </w:r>
    </w:p>
    <w:p>
      <w:pPr>
        <w:jc w:val="both"/>
        <w:spacing w:after="120" w:line="276" w:lineRule="auto"/>
      </w:pPr>
      <w:r>
        <w:t xml:space="preserve">4. </w:t>
      </w:r>
      <w:r>
        <w:t xml:space="preserve">[Adli sicil kaydı ve tekerrüre esas ilamın kesinleşme ve infaz bilgisi]</w:t>
      </w:r>
    </w:p>
    <w:p>
      <w:pPr>
        <w:jc w:val="both"/>
        <w:spacing w:after="120" w:line="276" w:lineRule="auto"/>
      </w:pPr>
      <w:r>
        <w:t xml:space="preserve">5. </w:t>
      </w:r>
      <w:r>
        <w:t xml:space="preserve">[Güneş doğuş-batış çizelgesi, değer tespitine esas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