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[NO]. ASLİYE CEZA MAHKEMESİ HÂKİMLİĞİNE</w:t>
      </w:r>
    </w:p>
    <w:p>
      <w:pPr>
        <w:jc w:val="center"/>
        <w:spacing w:after="120" w:line="276" w:lineRule="auto"/>
      </w:pPr>
      <w:r>
        <w:t xml:space="preserve">[yaralama sonucu ölüm varsa: [İL] [NO]. AĞIR CEZA MAHKEMESİ BAŞKANLIĞINA]</w:t>
      </w:r>
    </w:p>
    <w:p>
      <w:pPr>
        <w:jc w:val="center"/>
        <w:spacing w:after="120" w:line="276" w:lineRule="auto"/>
      </w:pPr>
      <w:r>
        <w:t xml:space="preserve">gönderilmek üzere</w:t>
      </w:r>
    </w:p>
    <w:p>
      <w:pPr>
        <w:jc w:val="center"/>
        <w:spacing w:after="120" w:line="276" w:lineRule="auto"/>
      </w:pPr>
      <w:r>
        <w:rPr>
          <w:b/>
          <w:bCs/>
        </w:rPr>
        <w:t xml:space="preserve">[İL] BÖLGE ADLİYE MAHKEMESİ [NO]. CEZA DAİRESİ BAŞKANLIĞINA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DOSYA NO:</w:t>
      </w:r>
      <w:r>
        <w:t xml:space="preserve"> Esas [Yıl/Sıra], Karar [Yıl/Sıra]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İSTİNAF EDEN SANIK:</w:t>
      </w:r>
      <w:r>
        <w:t xml:space="preserve"> [Ad Soyad], T.C. Kimlik No: [...........], Adres: [...........]</w:t>
      </w:r>
    </w:p>
    <w:p>
      <w:pPr>
        <w:jc w:val="both"/>
        <w:spacing w:after="120" w:line="276" w:lineRule="auto"/>
      </w:pPr>
      <w:r>
        <w:t xml:space="preserve">[tutukluysa: Halen [kurum adı] Ceza İnfaz Kurumunda tutuklu]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MÜDAFİİ:</w:t>
      </w:r>
      <w:r>
        <w:t xml:space="preserve"> [varsa: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KARŞI TARAF:</w:t>
      </w:r>
      <w:r>
        <w:t xml:space="preserve"> Kamu Hukuku (K.H.) ve katılan [Ad Soyad] [varsa vekili]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Kasten yaralama (TCK [86/1 / 86/2], [kararda uygulandıysa: 86/3-[bent], 87/[fıkra]])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İSTİNAF EDİLEN KARAR:</w:t>
      </w:r>
      <w:r>
        <w:t xml:space="preserve"> [Mahkeme adı] [gg.aa.20..] tarihli, [Yıl/Sıra] Esas ve [Yıl/Sıra] Karar sayılı [mahkûmiyet / hükmün açıklanmasının geri bırakılması] kararı; verilen ceza: [... ay / yıl] hapis [veya ... TL adli para cezası]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GEREKÇELİ KARARIN TEBLİĞ TARİHİ:</w:t>
      </w:r>
      <w:r>
        <w:t xml:space="preserve"> [gg.aa.20..]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Kasten yaralama suçundan kurulan hükmün adli rapor, suç vasfı, haksız tahrik, meşru savunma ve uzlaştırma yönlerinden hukuka aykırı olduğunun bildirilmesi ile kararın kaldırılması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İSTİNAF NEDENLERİ: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Süre:</w:t>
      </w:r>
      <w:r>
        <w:t xml:space="preserve"> Gerekçeli karar [gg.aa.20..] günü tebliğ edilmiştir; başvuru CMK 273/1'deki iki haftalık süre içindedir. Verilen ceza [hapis cezasıdır / hapisten çevrilen adli para cezasıdır / on beş bin lirayı aşan adli para cezasıdır]; hüküm CMK 272/3-a kapsamında olmadığından istinaf yolu açıktır. [Karar HAGB ise: CMK 231/12 uyarınca istinaf edilmektedir.] Gerekçelerimizi ek dilekçeyle genişletme hakkımız saklıdır.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Kararın kabulü:</w:t>
      </w:r>
      <w:r>
        <w:t xml:space="preserve"> Mahkeme, [gg.aa.20..] günü [yer]de sanık ile katılan arasında çıkan tartışmada sanığın katılana [yumrukla / tekmeyle / cisimle] vurduğunu kabul etmiş ve [gg.aa.20..] tarihli [hastane / adli tıp] raporuna dayanarak eylemi TCK [fıkra] kapsamında nitelendirmiştir. Kararda olayın başlangıcına ilişkin [kamera kaydı / tarafsız tanık beyanı] tartışılmamış, sanığın kendi yaralanmasını gösteren [gg.aa.20..] tarihli rapor hiç değerlendirilmemiştir.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Eksik araştırma:</w:t>
      </w:r>
      <w:r>
        <w:t xml:space="preserve"> Duruşmada [olay yerindeki işyeri kameralarının getirtilmesini / olayı başından gören [tanık ad]'ın dinlenmesini / katılanın kesin raporunun alınmasını / Adli Tıp Kurumundan rapor alınmasını] talep ettik; talep [reddedilmiş / karara bağlanmamıştır]. Bu ara karar CMK 272/2 uyarınca hükümle birlikte istinaf edilmektedir. Olayın kimden başladığını ve yaralanmanın derecesini doğrudan gösterecek bu deliller toplanmadan hüküm kurulmuştur.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Adli raporun değerlendirilmesi ve suç vasfı:</w:t>
      </w:r>
      <w:r>
        <w:t xml:space="preserve"> Kasten yaralamanın fıkrası raporla belirlenir: basit tıbbi müdahaleyle giderilebilen yaralanma TCK 86/2, giderilemeyen TCK 86/1, ağır netice TCK 87 kapsamındadır. Kararın dayandığı [gg.aa.20..] tarihli rapor [olay günü düzenlenmiş geçici rapordur / kesin rapor değildir / basit tıbbi müdahale yönünden görüş içermemektedir]. [Kırık varsa: Raporda kırığın hayat fonksiyonlarına etkisinin derecesi yazılmamıştır; TCK 87/3 artırımı bu derece olmadan oranlanamaz.] [Hayati tehlike kabul edildiyse: Yaşamsal tehlikenin hangi bulguya dayandığı raporda gösterilmemiştir.] Dosyada birbiriyle çelişen [iki] rapor bulunmasına rağmen Adli Tıp Kurumunun ilgili ihtisas kurulundan rapor alınmamıştır. Rapor eksikliği giderilmeden suç vasfı belirlenemez.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[SEÇENEK — dosyanıza uyuyorsa kullanın: basit tıbbi müdahale] </w:t>
      </w:r>
      <w:r>
        <w:rPr>
          <w:b/>
          <w:bCs/>
        </w:rPr>
        <w:t xml:space="preserve">TCK 86/2 ve şikâyet:</w:t>
      </w:r>
      <w:r>
        <w:t xml:space="preserve"> Yaralanma basit tıbbi müdahaleyle giderilebilecek ölçüdedir. Bu hâlde suç şikâyete bağlıdır, ceza altı aydan bir yıl altı aya kadar hapis veya adli para cezasıdır. Katılan [şikâyetini fiili ve faili öğrendiği [tarih]ten itibaren altı ay içinde yapmamıştır (TCK 73/1) / [gg.aa.20..] tarihinde şikâyetinden vazgeçmiştir]. Hüküm kesinleşmeden yapılan vazgeçme davayı düşürür (TCK 73/4). Seçimlik cezada mahkemenin hapis cezasını tercih etmesinin gerekçesi de kararda gösterilmemiştir.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[SEÇENEK — dosyanıza uyuyorsa kullanın: silah artırımı] </w:t>
      </w:r>
      <w:r>
        <w:rPr>
          <w:b/>
          <w:bCs/>
        </w:rPr>
        <w:t xml:space="preserve">TCK 86/3-e uygulamasının dayanaksızlığı:</w:t>
      </w:r>
      <w:r>
        <w:t xml:space="preserve"> Kararda eylemin [bıçak / sopa / taş / şişe] ile işlendiği kabul edilmiştir. Ancak bu cisim olay yerinde ele geçirilmemiş, katılanın raporundaki bulgu [kesici-delici alet yarasına değil künt travmaya] işaret etmektedir; tanık beyanları cisim konusunda [çelişkilidir]. Silah sayılan eşya (TCK 6/1-f) artırımı, cismin varlığı ve eylemde kullanıldığı kesin olarak ispatlanmadan uygulanamaz. Şüphe sanık lehine değerlendirilmeli; artırım kalkınca suç şikâyete bağlı hâle gelebileceğinden ve uzlaştırma kapsamına gireceğinden bu nokta hükmün sonucunu doğrudan etkiler.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aile içi veya kamu görevlisi] </w:t>
      </w:r>
      <w:r>
        <w:rPr>
          <w:b/>
          <w:bCs/>
        </w:rPr>
        <w:t xml:space="preserve">TCK 86/3'ün diğer bentleri:</w:t>
      </w:r>
      <w:r>
        <w:t xml:space="preserve"> 86/3-a yalnız üstsoy, altsoy, eş, boşanılan eş ve kardeşe karşı işlenen yaralamada uygulanır; katılan [kayınbirader / yeğen / nişanlı] olup bu sayımda yer almamaktadır. [86/3-c uygulandıysa: Yaralamanın katılanın yerine getirdiği kamu görevi nedeniyle işlendiği gösterilmemiştir; olay [özel bir anlaşmazlıktan] çıkmıştır.]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karşılıklı kavga] </w:t>
      </w:r>
      <w:r>
        <w:rPr>
          <w:b/>
          <w:bCs/>
        </w:rPr>
        <w:t xml:space="preserve">Haksız tahrik:</w:t>
      </w:r>
      <w:r>
        <w:t xml:space="preserve"> Olay katılanın [hakaret etmesi / ilk yumruğu atması / sanığın ailesine yönelik sözleri] ile başlamıştır; bu husus [tanık [ad] beyanı / kamera kaydı / sanığın darp raporu] ile sabittir. İlk haksız hareketin kimden geldiği kesin olarak belirlenemiyorsa bu şüphe de sanık lehine yorumlanmalıdır. Karar TCK 29'u [hiç uygulamamış / gerekçe göstermeden en alt oranda uygulamıştır]; haksız fiilin ağırlığına göre dörtte birden dörtte üçe kadar indirim yapılması gerekir.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saldırıyı savuşturma] </w:t>
      </w:r>
      <w:r>
        <w:rPr>
          <w:b/>
          <w:bCs/>
        </w:rPr>
        <w:t xml:space="preserve">Meşru savunma ve sınırın aşılması:</w:t>
      </w:r>
      <w:r>
        <w:t xml:space="preserve"> Sanık, katılanın [elindeki cisimle üzerine yürümesi / boğazını sıkması] üzerine o anda kendisini korumak için hareket etmiştir. Gerçekleşen haksız bir saldırıyı hâl ve koşullara göre orantılı biçimde defetmek zorunluluğuyla işlenen fiil nedeniyle ceza verilmez (TCK 25/1). Mahkeme orantılılığı aşılmış sayıyorsa bile, sanığın içinde bulunduğu korku ve telaş karşısında sınırın aşılması mazur görülmeli ve TCK 27/2 ile CMK 223/3-c uyarınca ceza verilmesine yer olmadığına karar verilmelidir. Kararda saldırının başlangıcı, süresi ve sanığın kaçma imkânı tartışılmamıştır.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uzlaştırma yapılmadıysa] </w:t>
      </w:r>
      <w:r>
        <w:rPr>
          <w:b/>
          <w:bCs/>
        </w:rPr>
        <w:t xml:space="preserve">Uzlaştırma usulünün uygulanmaması:</w:t>
      </w:r>
      <w:r>
        <w:t xml:space="preserve"> TCK 86'nın üçüncü fıkrası dışındaki hâlleri ve 88. madde CMK 253/1-b uyarınca uzlaştırma kapsamındadır. Bu dosyada [suç 86/1 / 86/2 kapsamında olmasına / 86/3 artırımı dayanaksız olduğu hâlde] dosya uzlaştırma bürosuna gönderilmemiştir (CMK 254/1). [Aynı katılana karşı hakaret de iddia edildiyse: Hakaret önödeme kapsamındaki bir suç olduğundan CMK 253/3 son cümlesi uyarınca yaralama yönünden uzlaştırma yine yapılmalıydı.] Uzlaştırma usulünün uygulanmaması CMK 280/1-f uyarınca hükmün bozulmasını gerektirir.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Ceza tayini:</w:t>
      </w:r>
      <w:r>
        <w:t xml:space="preserve"> Temel ceza alt sınırdan uzaklaşılarak [... ay] olarak belirlenmiş; TCK 61/1'deki ölçütlerden hangisinin bunu gerektirdiği somut olarak gösterilmemiştir. Tek darbe, yaralanmanın hafifliği ve sanığın olay sonrası katılana yardım etmesi temel cezanın alt sınırdan belirlenmesini gerektirir. Takdiri indirim (TCK 62) [gerekçesiz reddedilmiş], gözaltında geçen süre TCK 63 uyarınca mahsup edilmemiştir.</w:t>
      </w:r>
    </w:p>
    <w:p>
      <w:pPr>
        <w:jc w:val="both"/>
        <w:spacing w:after="120" w:line="276" w:lineRule="auto"/>
      </w:pPr>
      <w:r>
        <w:t xml:space="preserve">12. </w:t>
      </w:r>
      <w:r>
        <w:rPr>
          <w:b/>
          <w:bCs/>
        </w:rPr>
        <w:t xml:space="preserve">HAGB, erteleme ve seçenek yaptırım:</w:t>
      </w:r>
      <w:r>
        <w:t xml:space="preserve"> Sonuç ceza [... ay] olup iki yılı aşmamaktadır. Sanığın daha önce kasıtlı bir suçtan mahkûmiyeti yoktur; katılanın tedavi gideri [gg.aa.20..] tarihinde ödenmiştir. Buna rağmen hükmün açıklanmasının geri bırakılması (CMK 231/5-6), erteleme (TCK 51/1) ve [suç 86/1 ise ve ceza bir yıl veya altındaysa: kısa süreli hapis cezasının adli para cezasına çevrilmesi (TCK 50/1-a) / suç 86/2 ise: hapis yerine doğrudan adli para cezası seçilmesi; seçimlik cezada hapis seçildikten sonra çevirme yapılamaz (TCK 50/2)] talepleri "[kararın kalıp cümlesi]" denilerek reddedilmiştir. Bu taleplerin kabul ya da reddine ait dayanaklar CMK 230/1-d uyarınca gerekçede gösterilmelidir.</w:t>
      </w:r>
    </w:p>
    <w:p>
      <w:pPr>
        <w:jc w:val="both"/>
        <w:spacing w:after="120" w:line="276" w:lineRule="auto"/>
      </w:pPr>
      <w:r>
        <w:t xml:space="preserve">13. </w:t>
      </w:r>
      <w:r>
        <w:rPr>
          <w:b/>
          <w:bCs/>
        </w:rPr>
        <w:t xml:space="preserve">Gerekçenin yetersizliği:</w:t>
      </w:r>
      <w:r>
        <w:t xml:space="preserve"> Sanığın [meşru savunma / tahrik / rapora itiraz] savunmaları kararda yer almamış ya da tek cümleyle geçilmiştir. Hükme esas alınan ve reddedilen delillerin neler olduğu ayrı ayrı belirtilmemiştir. Gerekçeden yoksun hüküm CMK 289/1-g'de hukuka kesin aykırılık olarak sayılmıştır ve Dairenizce CMK 280/1-e uyarınca bozulmalıdır.</w:t>
      </w:r>
    </w:p>
    <w:p>
      <w:pPr>
        <w:jc w:val="both"/>
        <w:spacing w:after="120" w:line="276" w:lineRule="auto"/>
      </w:pPr>
      <w:r>
        <w:t xml:space="preserve">14. </w:t>
      </w:r>
      <w:r>
        <w:t xml:space="preserve">[Sanık tutukluysa] </w:t>
      </w:r>
      <w:r>
        <w:rPr>
          <w:b/>
          <w:bCs/>
        </w:rPr>
        <w:t xml:space="preserve">Tutukluluk:</w:t>
      </w:r>
      <w:r>
        <w:t xml:space="preserve"> Yaralamanın niteliği ve sanığın tutuklu kaldığı süre birlikte değerlendirildiğinde tutukluluğun devamı ölçüsüzdür; adli kontrol tedbirleri yeterlidir.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CMK m.223, 230, 231, 253, 254, 263, 272, 273, 280, 283, 289; TCK m.6, 25, 27, 29, 50, 51, 61, 62, 63, 73, 86, 87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Dosya kapsamı, gerekçeli karar, duruşma tutanakları, katılanın geçici ve kesin raporları, sanığın darp raporu, [kamera kayıtları], [tanık beyanları], [tedavi gideri ödeme dekontu],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Belirtilen sebeplerle ve Dairenizin kendiliğinden inceleyeceği hususlar da dikkate alınarak;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CMK 280/1-g uyarınca duruşma açılmasına; [olay yeri kameralarının getirtilmesine / tanık [ad]'ın dinlenmesine / Adli Tıp Kurumu ilgili ihtisas kurulundan rapor alınmasına] karar verilmesine,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İlk derece hükmünün kaldırılarak CMK 280/2 uyarınca yeniden hüküm kurulmasına ve sanığın meşru savunma nedeniyle CMK 223/2-d, olmazsa CMK 223/2-e uyarınca BERAATİNE; sınırın mazur görülebilir biçimde aşıldığı kabul edilirse CMK 223/3-c uyarınca ceza verilmesine yer olmadığına,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talebimiz kabul görmezse terditli olarak; eylemin TCK 86/2 kapsamında nitelendirilmesine ve şikâyet yokluğu ya da şikâyetten vazgeçme nedeniyle davanın düşmesine (CMK 223/8), uzlaştırma usulü uygulanmadıysa CMK 280/1-f uyarınca hükmün bozulmasına,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Bu talebimiz de kabul görmezse; TCK 86/3 ve TCK 87 artırımlarının hükümden çıkarılmasına, temel cezanın alt sınırdan belirlenmesine, TCK 29 uyarınca üst orandan ve TCK 62 uyarınca indirim yapılmasına, TCK 63 mahsubuna,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Sonuç ceza yönünden hükmün açıklanmasının geri bırakılmasına, olmazsa [86/2'de: hapis yerine adli para cezasına hükmedilmesine / 86/1'de: kısa süreli hapis cezasının adli para cezasına çevrilmesine] ya da cezanın ertelenmesine,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[Sanık tutukluysa: Sanığın tahliyesine, gerekirse adli kontrol tedbiri uygulanmasına],</w:t>
      </w:r>
    </w:p>
    <w:p>
      <w:pPr>
        <w:jc w:val="both"/>
        <w:spacing w:after="120" w:line="276" w:lineRule="auto"/>
      </w:pPr>
      <w:r>
        <w:t xml:space="preserve">karar verilmesini saygı ile dilerim.</w:t>
      </w:r>
    </w:p>
    <w:p>
      <w:pPr>
        <w:jc w:val="right"/>
        <w:spacing w:after="120" w:line="276" w:lineRule="auto"/>
      </w:pPr>
      <w:r>
        <w:t xml:space="preserve">[gg.aa.2026]</w:t>
      </w:r>
    </w:p>
    <w:p>
      <w:pPr>
        <w:jc w:val="right"/>
        <w:spacing w:after="120" w:line="276" w:lineRule="auto"/>
      </w:pPr>
      <w:r>
        <w:t xml:space="preserve">İstinaf eden sanık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right"/>
        <w:spacing w:after="120" w:line="276" w:lineRule="auto"/>
      </w:pPr>
      <w:r>
        <w:t xml:space="preserve">[varsa: Müdafii Av. 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Gerekçeli kararın tebliğ belgesi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[Sanığın darp raporu]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[Kamera kaydı ya da görüntü dökümü]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[Tedavi gideri ödeme dekontu]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