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[NO]. AĞIR CEZA MAHKEMESİ BAŞKANLIĞINA</w:t>
      </w:r>
    </w:p>
    <w:p>
      <w:pPr>
        <w:jc w:val="center"/>
        <w:spacing w:after="120" w:line="276" w:lineRule="auto"/>
      </w:pPr>
      <w:r>
        <w:t xml:space="preserve">gönderilmek üzere</w:t>
      </w:r>
    </w:p>
    <w:p>
      <w:pPr>
        <w:jc w:val="center"/>
        <w:spacing w:after="120" w:line="276" w:lineRule="auto"/>
      </w:pPr>
      <w:r>
        <w:rPr>
          <w:b/>
          <w:bCs/>
        </w:rPr>
        <w:t xml:space="preserve">[İL] BÖLGE ADLİYE MAHKEMESİ [NO]. CEZA DAİRESİ BAŞKANLIĞINA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DOSYA NO:</w:t>
      </w:r>
      <w:r>
        <w:t xml:space="preserve"> Esas [Yıl/Sıra], Karar [Yıl/Sıra]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İSTİNAF YOLUNA BAŞVURAN (SANIK):</w:t>
      </w:r>
      <w:r>
        <w:t xml:space="preserve"> [Ad Soyad], T.C. Kimlik No: [...........], Adres: [...........]</w:t>
      </w:r>
    </w:p>
    <w:p>
      <w:pPr>
        <w:jc w:val="both"/>
        <w:spacing w:after="120" w:line="276" w:lineRule="auto"/>
      </w:pPr>
      <w:r>
        <w:t xml:space="preserve">[tutukluysa: Halen [kurum adı] Ceza İnfaz Kurumunda tutuklu]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MÜDAFİİ:</w:t>
      </w:r>
      <w:r>
        <w:t xml:space="preserve"> [varsa: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KARŞI TARAF:</w:t>
      </w:r>
      <w:r>
        <w:t xml:space="preserve"> Kamu Hukuku (K.H.)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Uyuşturucu veya uyarıcı madde ticareti (TCK 188/3 [kararda uygulandıysa: 188/4-a, 188/4-b, 188/5])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İSTİNAF EDİLEN KARAR:</w:t>
      </w:r>
      <w:r>
        <w:t xml:space="preserve"> [İL] [NO]. Ağır Ceza Mahkemesinin [gg.aa.20..] tarihli, [Yıl/Sıra] Esas ve [Yıl/Sıra] Karar sayılı, [... yıl ... ay] hapis ve [...] TL adli para cezasına ilişkin mahkûmiyet hükmü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GEREKÇELİ KARARIN TEBLİĞ TARİHİ:</w:t>
      </w:r>
      <w:r>
        <w:t xml:space="preserve"> [gg.aa.20..]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Hükmün usul ve esas yönünden hukuka aykırı olduğuna ilişkin istinaf nedenlerimizin sunulması, duruşma açılarak hükmün kaldırılması ve sanığın beraatine, olmazsa terditli taleplerimiz doğrultusunda karar verilmesi istemidir.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İSTİNAF NEDENLERİ: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Başvurunun süresi:</w:t>
      </w:r>
      <w:r>
        <w:t xml:space="preserve"> Gerekçeli karar sanığa [gg.aa.20..] tarihinde tebliğ edilmiştir. Bu dilekçe, CMK 273/1'de öngörülen iki haftalık süre içinde hükmü veren mahkemeye verilmektedir. [Tutukluysa: Dilekçe CMK 263 uyarınca ceza infaz kurumu müdürlüğüne verilmiş ve kayda alınmıştır.] [Hüküm on beş yıl veya daha fazla hapis cezası içeriyorsa: Hüküm CMK 272/1 uyarınca ayrıca re'sen incelemeye tabidir; aşağıdaki nedenlerin bu incelemede de gözetilmesini istiyoruz.] Dosyanın incelenmesi sırasında ek gerekçe dilekçesi sunma hakkımızı saklı tutuyoruz.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Kararın dayandığı deliller ve kabulü:</w:t>
      </w:r>
      <w:r>
        <w:t xml:space="preserve"> İlk derece mahkemesi mahkûmiyeti; [arama ve el koyma tutanağı], [kriminal rapor], [kullanıcı tanık beyanı / gizli tanık beyanı / ihbar], [HTS veya dinleme kayıtları] ve [ele geçen terazi, paket, nakit] olmak üzere [sayı] delile dayandırmıştır. Gerekçeli kararın [sayfa] sayfasında ticaret amacı yalnızca "[kararın ilgili cümlesi]" şeklinde açıklanmıştır. Aşağıda bu delillerin her birinin neyi ispat etmediği ve kararın savunmalarımızı neden karşılamadığı ayrı ayrı gösterilmiştir.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Eksik araştırma:</w:t>
      </w:r>
      <w:r>
        <w:t xml:space="preserve"> Hükümden önce [gg.aa.20..] tarihli duruşmada [satış yaptığı iddia edilen kişinin tanık olarak dinlenmesini / HTS ve baz istasyonu analizinin getirtilmesini / paketler ve terazi üzerinde parmak izi ve DNA incelemesi yapılmasını / olay yerindeki kamera kayıtlarının toplanmasını] talep ettik. Mahkeme bu talepleri [gerekçesiz reddetmiş / hiç karara bağlamamıştır]. Hükme esas teşkil eden bu ara karar CMK 272/2 uyarınca hükümle birlikte istinaf edilmektedir. Talep edilen deliller ticaret iddiasının sübutunu doğrudan etkileyecek niteliktedir; toplanmadan kurulan hüküm eksik incelemeye dayanmaktadır.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[SEÇENEK — dosyanıza uyuyorsa kullanın: kriminal rapor ve miktar] </w:t>
      </w:r>
      <w:r>
        <w:rPr>
          <w:b/>
          <w:bCs/>
        </w:rPr>
        <w:t xml:space="preserve">Kriminal raporun hükme esas alınış biçimi:</w:t>
      </w:r>
      <w:r>
        <w:t xml:space="preserve"> Karar ele geçen maddenin [brüt ... gram] olduğunu kabul etmiştir. Oysa [gg.aa.20..] tarihli raporda net miktar [... gram] olarak gösterilmiştir / her paketin ayrı ağırlığı ve etken madde oranı belirtilmemiştir. El koyma tutanağındaki mühür numarası ile laboratuvara teslim tutanağındaki numara [uyuşmamaktadır]. Ticaret kabulünün temeli olan miktar, raporla birebir örtüşmeyen bir rakam üzerinden değerlendirilmiştir; bu çelişki gerekçede tartışılmamıştır.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dosyanıza uyuyorsa kullanın: arama, teknik takip, ifade] </w:t>
      </w:r>
      <w:r>
        <w:rPr>
          <w:b/>
          <w:bCs/>
        </w:rPr>
        <w:t xml:space="preserve">Hukuka aykırı delile dayanılması:</w:t>
      </w:r>
      <w:r>
        <w:t xml:space="preserve"> Madde [konutta / araçta / çantada] yapılan aramada ele geçmiştir. Bu arama için CMK 119/1'in aradığı hâkim kararı ya da gecikmesinde sakınca bulunan hâlde Cumhuriyet savcısının yazılı emri [araç veya üst aramasında: savcıya ulaşılamadığı gösterilmeden alınmış kolluk amiri emri dışında hiçbir yazılı emir] [dosyada yoktur / aramadan sonra alınmıştır]. Hükme esas alınan görüntü ve ses kayıtları için CMK 140 uyarınca ayrıca verilmiş bir teknik araçlarla izleme kararı bulunmamaktadır. [Varsa: Sanığın müdafi yokken alınan kolluk ifadesi hâkim önünde doğrulanmamıştır; CMK 148/4 uyarınca hükme esas alınamaz.] Hukuka uygun elde edilmeyen delille suç ispat edilemez (CMK 217/2). Mahkeme, CMK 230/1-b'nin emrettiği şekilde bu delillerin hukuka aykırı olup olmadığını gerekçede ayrıca ve açıkça tartışmamıştır. Hükmün hukuka aykırı yöntemle elde edilen delile dayanması CMK 289/1-i kapsamında bozma nedenidir.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gizli tanık veya ihbar] </w:t>
      </w:r>
      <w:r>
        <w:rPr>
          <w:b/>
          <w:bCs/>
        </w:rPr>
        <w:t xml:space="preserve">Gizli tanık ve ihbar beyanının tek başına esas alınması:</w:t>
      </w:r>
      <w:r>
        <w:t xml:space="preserve"> Kararın sübut kabulü, kimliği saklı tutulan tanığın [gg.aa.20..] tarihli beyanına ve kimliği belirsiz bir ihbara dayanmaktadır. Hakkında tanık koruma tedbiri uygulanan tanığın beyanı tek başına hükme esas olamaz (5726 sayılı Tanık Koruma Kanunu m.9/8). Tanık, olayı hangi sebeple öğrendiğini açıklamamış / sanığı duruşmada teşhis edememiştir / savunmanın soru sorma hakkı kullandırılmamıştır. İhbarın içeriği ise satış tarihi, yeri, alıcısı ve miktarı bakımından somut değildir. Bu beyanları destekleyen bağımsız ve nesnel bir delil dosyada yoktur.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kullanıcı tanık ve teşhis] </w:t>
      </w:r>
      <w:r>
        <w:rPr>
          <w:b/>
          <w:bCs/>
        </w:rPr>
        <w:t xml:space="preserve">Alıcı olduğu söylenen tanığın beyanı ve teşhis:</w:t>
      </w:r>
      <w:r>
        <w:t xml:space="preserve"> Kararda sanıktan madde aldığı kabul edilen tanık [ad], kollukta sanığı [teşhis etmemiş / fotoğraf üzerinden ve tek fotoğrafla teşhis etmiş], duruşmada ise [beyanını değiştirmiştir]. Tanık ile sanık arasında olay öncesinde ve sırasında HTS kaydında bir iletişim bulunmamaktadır; sanık üzerinde ya da evinde madde ele geçmemiştir. Tanığın kendi dosyasında TCK 192'deki indirim beklentisiyle konuştuğu ihtimali gerekçede tartışılmamıştır. Çelişkili ve desteksiz tek beyana dayanılarak mahkûmiyet kurulamaz. [varsa emsal karar künyesi]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Suçun unsurlarının gerekçelendirilmemesi:</w:t>
      </w:r>
      <w:r>
        <w:t xml:space="preserve"> TCK 188/3 satma, satışa arz etme, başkasına verme, sevk etme, nakletme, depolama, satın alma, kabul etme ve bulundurma hareketlerini sayar. Bu hareketlerden satın alma, kabul etme ve bulundurma, kullanmak amacıyla yapıldığında TCK 191/1'in konusudur. Karar sanığın hangi seçimlik hareketi gerçekleştirdiğini belirtmemiş; "ticaret amacıyla bulundurma" sonucunu [miktar / paketleme / terazi] üzerinden çıkarmıştır. Sanığın bir başkasına madde sattığını, verdiğini ya da satışa arz ettiğini gösteren tespit edilmiş bir alıcı, para transferi, satış görüşmesi veya görüntü yoktur. Kast (TCK 21/1) bakımından da sanığın ele geçen maddeden haberdar olduğu [ortak kullanılan araç / birden fazla kişinin yaşadığı ev] karşısında ayrıca tartışılmamıştır.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kişisel kullanım] </w:t>
      </w:r>
      <w:r>
        <w:rPr>
          <w:b/>
          <w:bCs/>
        </w:rPr>
        <w:t xml:space="preserve">Nitelendirme hatası, TCK 191'e çevrilme:</w:t>
      </w:r>
      <w:r>
        <w:t xml:space="preserve"> Sanığın kullanıcı olduğu [gg.aa.20..] tarihli [hastane / tedavi merkezi] kaydı ve [kan / idrar / saç] analiziyle sabittir. Ele geçen [miktar], sanığın kullanım sıklığına göre [gün / hafta] ihtiyacına karşılık gelmektedir. Kanunda gram olarak yazılmış bir sınır yoktur; maddenin bulunduğu yer, bulunduruluş biçimi, çeşidi ve miktarı birlikte değerlendirilmelidir. Kullanma dışında bir amaca dair somut delil yokken ticaretten hüküm kurulması suç vasfında hatadır. Eylem TCK 191/1 kapsamındaysa kovuşturma evresinde TCK 191/8 uyarınca hükmün açıklanmasının geri bırakılmasına karar verilmesi zorunludur.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nitelikli hâller] </w:t>
      </w:r>
      <w:r>
        <w:rPr>
          <w:b/>
          <w:bCs/>
        </w:rPr>
        <w:t xml:space="preserve">TCK 188/4 ve 188/5 artırımları:</w:t>
      </w:r>
      <w:r>
        <w:t xml:space="preserve"> 188/4-a artırımı için maddenin kanunda sayılan türlerden olduğu kriminal raporla açıkça belirlenmelidir; raporda [maddenin türevi belirtilmemiştir]. 188/4-b artırımında mesafe, okul, yurt veya hastane gibi binanın sınırından satışın yapıldığı umuma açık yere kadar ölçülmelidir; dosyadaki kroki [sanığın yakalandığı yerden / kuş uçuşu] ölçülmüş, keşif yapılmamıştır. Satış hareketli bir araçta gerçekleştiyse hangi noktanın esas alındığı gösterilmemiştir. 188/5 artırımı ise suçun üç veya daha fazla kişiyle birlikte işlendiğinin her sanık yönünden ayrıca ispatını gerektirir; aynı ortamda bulunmak birlikte işleme değildir.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etkin pişmanlık] </w:t>
      </w:r>
      <w:r>
        <w:rPr>
          <w:b/>
          <w:bCs/>
        </w:rPr>
        <w:t xml:space="preserve">TCK 192'nin uygulanmaması:</w:t>
      </w:r>
      <w:r>
        <w:t xml:space="preserve"> Sanık [gg.aa.20..] tarihli ifadesinde maddeyi [kimden / nereden] aldığını açıklamış, bu bilgi üzerine [kişi yakalanmış / madde ele geçirilmiştir] ve bu husus [tutanak tarihi] ile sabittir. Suç haber alındıktan sonra gönüllü olarak suçun meydana çıkmasına ve diğer faillerin yakalanmasına yardım eden sanığın cezası TCK 192/3 uyarınca dörtte birden yarısına kadar indirilmelidir. Karar bu bilginin sonuç doğurup doğurmadığını hiç tartışmamıştır. Bu indirim başka araştırma gerektirmiyorsa CMK 280/1-c uyarınca Dairenizce de uygulanabilir.</w:t>
      </w:r>
    </w:p>
    <w:p>
      <w:pPr>
        <w:jc w:val="both"/>
        <w:spacing w:after="120" w:line="276" w:lineRule="auto"/>
      </w:pPr>
      <w:r>
        <w:t xml:space="preserve">12. </w:t>
      </w:r>
      <w:r>
        <w:rPr>
          <w:b/>
          <w:bCs/>
        </w:rPr>
        <w:t xml:space="preserve">Ceza tayini:</w:t>
      </w:r>
      <w:r>
        <w:t xml:space="preserve"> Temel ceza [... yıl] olarak alt sınırdan uzaklaşılarak belirlenmiş, ancak TCK 61/1'deki ölçütlerden hangisinin bu artırımı gerektirdiği somut olarak gösterilmemiştir. Ele geçen miktarın azlığı, satışa yönelik bir eylemin tespit edilmemesi ve sanığın [adli sicil kaydının bulunmaması / yaşı / aile durumu] karşısında temel cezanın alt sınırdan belirlenmesi gerekir. Takdiri indirim (TCK 62) "[kararın ret gerekçesi]" şeklinde kalıp bir ifadeyle reddedilmiştir; sanığın duruşmadaki tutumu ve [tedaviye başlaması] dikkate alınmamıştır. Gözaltı ve tutuklulukta geçen [... gün] sürenin TCK 63 uyarınca mahsubu hükümde [gösterilmemiştir]. Ele geçen [nakit / telefon / araç] suçtan elde edildiği ya da suçta kullanıldığı ispatlanmadan TCK [54 / nakit için 55] uyarınca müsadere edilmiştir; kaynağı [belge] ile açıklanmıştır.</w:t>
      </w:r>
    </w:p>
    <w:p>
      <w:pPr>
        <w:jc w:val="both"/>
        <w:spacing w:after="120" w:line="276" w:lineRule="auto"/>
      </w:pPr>
      <w:r>
        <w:t xml:space="preserve">13. </w:t>
      </w:r>
      <w:r>
        <w:rPr>
          <w:b/>
          <w:bCs/>
        </w:rPr>
        <w:t xml:space="preserve">Gerekçe eksikliği:</w:t>
      </w:r>
      <w:r>
        <w:t xml:space="preserve"> CMK 230/1 mahkûmiyet hükmünde iddia ve savunmada ileri sürülen görüşlerin, delillerin tartışılmasının ve hükme esas alınan ve reddedilen delillerin gösterilmesini emreder. Savunmada ileri sürdüğümüz [kişisel kullanım / aramanın hukuka aykırılığı / tanık çelişkisi] itirazları gerekçede hiç karşılanmamıştır. Hükmün CMK 230 uyarınca gerekçeyi içermemesi CMK 289/1-g'de hukuka kesin aykırılık sayılır ve CMK 280/1-e uyarınca bozma nedenidir.</w:t>
      </w:r>
    </w:p>
    <w:p>
      <w:pPr>
        <w:jc w:val="both"/>
        <w:spacing w:after="120" w:line="276" w:lineRule="auto"/>
      </w:pPr>
      <w:r>
        <w:t xml:space="preserve">14. </w:t>
      </w:r>
      <w:r>
        <w:t xml:space="preserve">[Sanık tutukluysa] </w:t>
      </w:r>
      <w:r>
        <w:rPr>
          <w:b/>
          <w:bCs/>
        </w:rPr>
        <w:t xml:space="preserve">Tutukluluğun devamı:</w:t>
      </w:r>
      <w:r>
        <w:t xml:space="preserve"> Sanık [gg.aa.20..] tarihinden beri tutukludur. Yukarıda açıklanan nedenlerle hükmün kesinleşme ihtimali zayıftır; kaçma şüphesini gösteren somut bir olgu yoktur ve adli kontrol tedbirleri yeterlidir.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CMK m.119, 135, 140, 148, 217, 223, 230, 263, 272, 273, 280, 281, 283, 289; TCK m.21, 54, 61, 62, 63, 188, 191, 192; 5726 sayılı Kanun m.9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Dosya kapsamı, gerekçeli karar, duruşma tutanakları, arama ve el koyma tutanakları, kriminal rapor, iletişim tespiti kararları ve HTS kayıtları, [sağlık ve tedavi kayıtları], [paranın kaynağını gösteren belgeler],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ve Dairenizce re'sen gözetilecek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CMK 280/1-g uyarınca duruşma açılmasına; [satış yaptığı iddia edilen tanık [ad] ile tutanak düzenleyen kolluk görevlilerinin dinlenmesine / paketler ve terazi üzerinde parmak izi ve DNA incelemesi yapılmasına / net miktar ve etken madde için ek rapor alınmasına / iki yüz metre mesafesi için keşif yapılmasına] karar verilmesine,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İlk derece mahkemesi hükmünün kaldırılarak CMK 280/2 uyarınca yeniden hüküm kurulmasına ve sanığın CMK 223/2-e uyarınca BERAATİNE; Dairenizce hükmün CMK 289'da sayılan bir hukuka aykırılık nedeniyle bozulması gerekli görülürse CMK 280/1-e uyarınca bozulmasına,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talebimiz kabul görmezse terditli olarak; eylemin TCK 191/1 kapsamında kullanmak için bulundurma olarak nitelendirilmesine ve TCK 191/8 uyarınca hükmün açıklanmasının geri bırakılmasına,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Bu talebimiz de kabul görmezse; TCK 188/4 ve 188/5 artırımlarının hükümden çıkarılmasına, temel cezanın alt sınırdan belirlenmesine, TCK 192/3 ve TCK 62 indirimlerinin uygulanmasına, TCK 63 mahsubunun yapılmasına, [nakit / telefon / araç] yönünden müsaderenin kaldırılarak sanığa iadesine,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[Sanık tutukluysa: Sanığın tahliyesine, gerekirse adli kontrol tedbiri uygulanmasına],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İstinaf yoluna başvuran sanık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Müdafii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Gerekçeli kararın tebliğ belgesi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[Sağlık ve tedavi kayıtları, test sonuçları]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[Paranın kaynağını gösteren banka dökümü / bordro]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[Varsa uzman mütalaası]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