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SULH CEZA HÂKİMLİĞİNE / [İL] [NO]. AĞIR CEZA MAHKEMESİ BAŞKANLIĞINA</w:t>
      </w:r>
    </w:p>
    <w:p>
      <w:pPr>
        <w:jc w:val="both"/>
        <w:spacing w:after="120" w:line="276" w:lineRule="auto"/>
      </w:pPr>
      <w:r>
        <w:rPr>
          <w:b/>
          <w:bCs/>
        </w:rPr>
        <w:t xml:space="preserve">SORUŞTURMA / ESAS NO:</w:t>
      </w:r>
      <w:r>
        <w:t xml:space="preserve"> [yıl/sayı]</w:t>
      </w:r>
    </w:p>
    <w:p>
      <w:pPr>
        <w:jc w:val="both"/>
        <w:spacing w:after="120" w:line="276" w:lineRule="auto"/>
      </w:pPr>
      <w:r>
        <w:rPr>
          <w:b/>
          <w:bCs/>
        </w:rPr>
        <w:t xml:space="preserve">TALEP EDEN [ŞÜPHELİ / SANIK]:</w:t>
      </w:r>
      <w:r>
        <w:t xml:space="preserve"> [Ad Soyad], T.C. Kimlik No: [...........]</w:t>
      </w:r>
    </w:p>
    <w:p>
      <w:pPr>
        <w:jc w:val="both"/>
        <w:spacing w:after="120" w:line="276" w:lineRule="auto"/>
      </w:pPr>
      <w:r>
        <w:t xml:space="preserve">[......] Ceza İnfaz Kurumunda tutuklu</w:t>
      </w:r>
    </w:p>
    <w:p>
      <w:pPr>
        <w:jc w:val="both"/>
        <w:spacing w:after="120" w:line="276" w:lineRule="auto"/>
      </w:pPr>
      <w:r>
        <w:t xml:space="preserve">[varsa: MÜDAFİİ: Av. Ad Soyad, baro ve sicil no]</w:t>
      </w:r>
    </w:p>
    <w:p>
      <w:pPr>
        <w:jc w:val="both"/>
        <w:spacing w:after="120" w:line="276" w:lineRule="auto"/>
      </w:pPr>
      <w:r>
        <w:rPr>
          <w:b/>
          <w:bCs/>
        </w:rPr>
        <w:t xml:space="preserve">İSNAT:</w:t>
      </w:r>
      <w:r>
        <w:t xml:space="preserve"> Yağma [TCK 148/1 / TCK 149/1-(bent)]</w:t>
      </w:r>
    </w:p>
    <w:p>
      <w:pPr>
        <w:jc w:val="both"/>
        <w:spacing w:after="120" w:line="276" w:lineRule="auto"/>
      </w:pPr>
      <w:r>
        <w:rPr>
          <w:b/>
          <w:bCs/>
        </w:rPr>
        <w:t xml:space="preserve">TUTUKLAMA TARİHİ:</w:t>
      </w:r>
      <w:r>
        <w:t xml:space="preserve"> [gg.aa.2026]</w:t>
      </w:r>
    </w:p>
    <w:p>
      <w:pPr>
        <w:jc w:val="both"/>
        <w:spacing w:after="120" w:line="276" w:lineRule="auto"/>
      </w:pPr>
      <w:r>
        <w:rPr>
          <w:b/>
          <w:bCs/>
        </w:rPr>
        <w:t xml:space="preserve">SON İNCELEME / RET KARARI:</w:t>
      </w:r>
      <w:r>
        <w:t xml:space="preserve"> [gg.aa.2026]</w:t>
      </w:r>
    </w:p>
    <w:p>
      <w:pPr>
        <w:jc w:val="both"/>
        <w:spacing w:after="120" w:line="276" w:lineRule="auto"/>
      </w:pPr>
      <w:r>
        <w:rPr>
          <w:b/>
          <w:bCs/>
        </w:rPr>
        <w:t xml:space="preserve">KONU:</w:t>
      </w:r>
      <w:r>
        <w:t xml:space="preserve"> Son tutukluluk incelemesinden bu yana değişen durum ve tutuklulukta geçen süre gözetilerek tahliyeme, bu mümkün görülmezse adli kontrol altında salıverilmeme karar verilmesi talebidir.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Tutukluluk süreci:</w:t>
      </w:r>
      <w:r>
        <w:t xml:space="preserve"> [gg.aa.2026] tarihinde yağma isnadıyla gözaltına alındım, [gg.aa.2026] tarihinde tutuklandım. Bugüne kadar [... ay ... gün] tutuklu kaldım. Tutukluluğumun devamına en son [gg.aa.2026] tarihinde karar verildi. CMK 104/1 uyarınca soruşturmanın ve kovuşturmanın her aşamasında salıverilmemi isteme hakkım bulunmaktadır; bu talep, aşağıda gösterdiğim yeni gelişmelere dayanmaktadır.</w:t>
      </w:r>
    </w:p>
    <w:p>
      <w:pPr>
        <w:jc w:val="both"/>
        <w:spacing w:after="120" w:line="276" w:lineRule="auto"/>
      </w:pPr>
      <w:r>
        <w:t xml:space="preserve">2. </w:t>
      </w:r>
      <w:r>
        <w:rPr>
          <w:b/>
          <w:bCs/>
        </w:rPr>
        <w:t xml:space="preserve">Son incelemeden bu yana değişen durum:</w:t>
      </w:r>
      <w:r>
        <w:t xml:space="preserve"> Tutukluluğumun devamına karar verildiği tarihten sonra dosyaya şu belgeler girmiştir: [gg.aa.2026] tarihli [kamera görüntüsü inceleme raporu / teşhis tutanağı / bilirkişi değer tespit raporu / mağdurun yeni beyanı / iade tutanağı]. Ayrıca [iddianame düzenlenmiş ve kabul edilmiştir / ilk duruşma yapılmış, mağdur ve tanıklar dinlenmiştir]. Önceki kararlarda dayanılan "delillerin henüz toplanmamış olması" gerekçesi artık geçerli değildir. Bu yeni olguları daha önce ileri sürmem mümkün değildi; ayrıca değerlendirilmelerini istiyorum.</w:t>
      </w:r>
    </w:p>
    <w:p>
      <w:pPr>
        <w:jc w:val="both"/>
        <w:spacing w:after="120" w:line="276" w:lineRule="auto"/>
      </w:pPr>
      <w:r>
        <w:t xml:space="preserve">3. </w:t>
      </w:r>
      <w:r>
        <w:rPr>
          <w:b/>
          <w:bCs/>
        </w:rPr>
        <w:t xml:space="preserve">Yeni deliller şüpheyi güçlendirmemiş, zayıflatmıştır:</w:t>
      </w:r>
      <w:r>
        <w:t xml:space="preserve"> Yağmanın oluşması için malın cebir veya kanunda sayılan ağırlıkta bir tehditle elde edilmesi ve failin ben olduğumun gösterilmesi gerekir (TCK 148/1). Gelen [rapor / tutanak], [olay anında görüntüdeki kişinin yüzünün seçilemediğini / görüntüdeki kişinin boy ve kıyafetinin bana uymadığını / mağdurun bedeninde cebir izi bulunmadığını] ortaya koymuştur. Tutuklamanın ilk günündeki şüphe, bugün dosyadaki delillerle aynı yoğunlukta desteklenmemektedir. Kuvvetli şüphe tutuklamanın devamı için de aranan bir şarttır (CMK 100/1).</w:t>
      </w:r>
    </w:p>
    <w:p>
      <w:pPr>
        <w:jc w:val="both"/>
        <w:spacing w:after="120" w:line="276" w:lineRule="auto"/>
      </w:pPr>
      <w:r>
        <w:t xml:space="preserve">4. </w:t>
      </w:r>
      <w:r>
        <w:rPr>
          <w:b/>
          <w:bCs/>
        </w:rPr>
        <w:t xml:space="preserve">Kaçacağımı gösteren bir olgu yoktur:</w:t>
      </w:r>
      <w:r>
        <w:t xml:space="preserve"> Tutuklanmadan önce [ilçe/il] adresinde [aile bireyleri] ile birlikte yaşıyordum; ailem hâlen aynı adreste oturmaktadır. [İşverenim, tahliyem hâlinde işe dönebileceğimi yazıyla bildirmiştir / okul kaydım devam etmektedir.] Pasaportum [yoktur / adli emanete teslim edilebilir]. Tutuklu kaldığım süre boyunca disiplin cezası almadım [kurum yazısı ekte]. Yüksek bir ceza ihtimali tek başına kaçma şüphesini kanıtlamaz; CMK 100/2-a somut olgu ister.</w:t>
      </w:r>
    </w:p>
    <w:p>
      <w:pPr>
        <w:jc w:val="both"/>
        <w:spacing w:after="120" w:line="276" w:lineRule="auto"/>
      </w:pPr>
      <w:r>
        <w:t xml:space="preserve">5. </w:t>
      </w:r>
      <w:r>
        <w:rPr>
          <w:b/>
          <w:bCs/>
        </w:rPr>
        <w:t xml:space="preserve">Karartılacak delil kalmamıştır:</w:t>
      </w:r>
      <w:r>
        <w:t xml:space="preserve"> [Mağdur ve tanıklar [savcılıkta / duruşmada] dinlenmiş, ifadeleri tutanağa geçmiştir.] Kamera kayıtları ve telefon incelemesi tamamlanmış, raporlar dosyaya girmiştir. Bundan sonra ortaya çıkacak bir delilin bana bağlı olarak yok edilmesi ya da değiştirilmesi söz konusu değildir. Tutukluluğum süresince mağdurla ya da tanıklarla hiçbir temas kurmadım (CMK 100/2-b).</w:t>
      </w:r>
    </w:p>
    <w:p>
      <w:pPr>
        <w:jc w:val="both"/>
        <w:spacing w:after="120" w:line="276" w:lineRule="auto"/>
      </w:pPr>
      <w:r>
        <w:t xml:space="preserve">6. </w:t>
      </w:r>
      <w:r>
        <w:rPr>
          <w:b/>
          <w:bCs/>
        </w:rPr>
        <w:t xml:space="preserve">Katalog suç gerekçesi kendiliğinden yeterli değildir:</w:t>
      </w:r>
      <w:r>
        <w:t xml:space="preserve"> Yağma CMK 100/3'teki suçlar arasında yer alsa da tutuklama nedeninin var sayılması, somut delillere dayanan kuvvetli şüphenin bulunmasına bağlıdır. Tutukluluk uzadıkça, kararın yalnız suçun türüne değil, kişinin dosyadaki durumuna dayandırılması gereği daha da artar. Anayasa Mahkemesi ve Avrupa İnsan Hakları Mahkemesi, tutukluluğun devamında gerekçenin zamanla daha somut hâle gelmesini aramaktadır [varsa emsal karar künyesi].</w:t>
      </w:r>
    </w:p>
    <w:p>
      <w:pPr>
        <w:jc w:val="both"/>
        <w:spacing w:after="120" w:line="276" w:lineRule="auto"/>
      </w:pPr>
      <w:r>
        <w:t xml:space="preserve">7. </w:t>
      </w:r>
      <w:r>
        <w:rPr>
          <w:b/>
          <w:bCs/>
        </w:rPr>
        <w:t xml:space="preserve">Tutukluluğun devamı artık ölçülü değildir:</w:t>
      </w:r>
      <w:r>
        <w:t xml:space="preserve"> [... ay] tutuklu kaldım. Hakkımda mahkûmiyet kararı verilse bile tutuklulukta geçen süre cezadan düşülecektir (TCK 63/1). [Değer azlığı (TCK 150/2), iade (TCK 168/3), teşebbüs (TCK 35/2) ve takdiri indirim (TCK 62)] birlikte uygulandığında muhtemel cezanın infazında cezaevinde geçirilecek süre, şimdiye kadar tutuklu kaldığım süreye yaklaşmaktadır [kısa hesap: muhtemel ceza ..., koşullu salıverilme ..., tutuklulukta geçen ...]. Bu noktada tutukluluk, bir tedbir olmaktan çıkıp peşin cezaya dönüşmektedir (CMK 100/1, ikinci cümle).</w:t>
      </w:r>
    </w:p>
    <w:p>
      <w:pPr>
        <w:jc w:val="both"/>
        <w:spacing w:after="120" w:line="276" w:lineRule="auto"/>
      </w:pPr>
      <w:r>
        <w:t xml:space="preserve">8. </w:t>
      </w:r>
      <w:r>
        <w:rPr>
          <w:b/>
          <w:bCs/>
        </w:rPr>
        <w:t xml:space="preserve">Adli kontrol amacı karşılar:</w:t>
      </w:r>
      <w:r>
        <w:t xml:space="preserve"> Yurt dışına çıkış yasağı (CMK 109/3-a), haftanın belirlenecek günlerinde kolluk merkezinde imza (109/3-b), mağdurun oturduğu ve çalıştığı yere gitmeme (109/3-l) yükümlülükleri hem duruşmalara gelmemi hem de mağdurun korunmasını güvenceye alır. Bunlar yeterli görülmezse konutu terk etmeme yükümlülüğü (109/3-j) de uygulanabilir; bu yükümlülükte geçen her iki gün, mahsupta bir gün sayılır (CMK 109/6).</w:t>
      </w:r>
    </w:p>
    <w:p>
      <w:pPr>
        <w:jc w:val="both"/>
        <w:spacing w:after="120" w:line="276" w:lineRule="auto"/>
      </w:pPr>
      <w:r>
        <w:t xml:space="preserve">9. </w:t>
      </w:r>
      <w:r>
        <w:rPr>
          <w:b/>
          <w:bCs/>
        </w:rPr>
        <w:t xml:space="preserve">Devam kararları aynı kalıp cümleyi tekrarlamaktadır:</w:t>
      </w:r>
      <w:r>
        <w:t xml:space="preserve"> [gg.aa.2026], [gg.aa.2026] ve [gg.aa.2026] tarihli tutukluluğun devamı kararlarında aynı ifade, "suçun niteliği, mevcut delil durumu ve tutuklulukta geçen süre" cümlesi kullanılmıştır. Değişen delil durumu hiçbir kararda tartışılmamıştır. CMK 101/2, tahliye isteminin reddi kararlarında da kuvvetli şüphenin, tutuklama nedeninin, ölçülülüğün ve adli kontrolün yetersizliğinin somut olgularla gösterilmesini emreder.</w:t>
      </w:r>
    </w:p>
    <w:p>
      <w:pPr>
        <w:jc w:val="both"/>
        <w:spacing w:after="120" w:line="276" w:lineRule="auto"/>
      </w:pPr>
      <w:r>
        <w:t xml:space="preserve">10. </w:t>
      </w:r>
      <w:r>
        <w:t xml:space="preserve">[SEÇENEK — dosyanıza uyuyorsa kullanın: kamera görüntüsü incelemesi sonuçlandıysa] Olay yerine ait kamera kayıtları [gg.aa.2026] tarihinde [kolluk / bilirkişi] tarafından incelenmiş, rapor dosyaya girmiştir. Raporda [faile ait yüz görüntüsünün net olmadığı / görüntüdeki kişinin [boy, kıyafet, saç] bakımından benden farklı olduğu / olay saatinde benim başka bir kamerada başka bir yerde göründüğüm] belirtilmiştir. Kararın dayandığı teşhis, bu objektif kayıtla çelişmektedir. Görüntü ile teşhis arasındaki bu çelişki giderilmeden tutukluluğun devamı kuvvetli şüpheye dayandırılamaz.</w:t>
      </w:r>
    </w:p>
    <w:p>
      <w:pPr>
        <w:jc w:val="both"/>
        <w:spacing w:after="120" w:line="276" w:lineRule="auto"/>
      </w:pPr>
      <w:r>
        <w:t xml:space="preserve">11. </w:t>
      </w:r>
      <w:r>
        <w:t xml:space="preserve">[SEÇENEK — dosyanıza uyuyorsa kullanın: teşhis tutanağı dosyaya girdiyse ya da duruşmada teşhis yinelendiyse] Dosyaya [gg.aa.2026] tarihinde giren teşhis tutanağından, mağdura [yalnız benim fotoğrafımın gösterildiği / benzer kişiler arasında sıra teşhisi yapılmadığı / teşhisten önce fotoğrafımın sosyal medyada mağdura ulaştığı] anlaşılmaktadır. [Duruşmada mağdur, salonda beni kesin olarak tanıyamadığını beyan etmiştir (tutanak sayfası: ...).] Telkine açık bir teşhisin değeri, başka delille desteklenmedikçe kuvvetli şüphe için yetmez.</w:t>
      </w:r>
    </w:p>
    <w:p>
      <w:pPr>
        <w:jc w:val="both"/>
        <w:spacing w:after="120" w:line="276" w:lineRule="auto"/>
      </w:pPr>
      <w:r>
        <w:t xml:space="preserve">12. </w:t>
      </w:r>
      <w:r>
        <w:t xml:space="preserve">[SEÇENEK — dosyanıza uyuyorsa kullanın: mal sonradan iade edildiyse ya da bedeli ödendiyse] Suça konu [eşya / para], [gg.aa.2026] tarihinde [ailem aracılığıyla / avukatım aracılığıyla] mağdura [aynen iade edilmiş / bedeli ödenmiştir] [tutanak / dekont ekte]. İade [iddianamenin kabulünden önce gerçekleştiği için TCK 168/3 uyarınca cezanın yarısına / kovuşturma başladıktan sonra, hüküm verilmeden önce gerçekleştiği için TCK 168/3 uyarınca cezanın üçte birine] kadarı indirilecektir. [Kısmi iadede mağdurun rızası ektedir (TCK 168/4).] Zararın giderilmesi, mağdurla aramdaki meselenin kapandığını ve beklenen cezanın düştüğünü birlikte gösterir.</w:t>
      </w:r>
    </w:p>
    <w:p>
      <w:pPr>
        <w:jc w:val="both"/>
        <w:spacing w:after="120" w:line="276" w:lineRule="auto"/>
      </w:pPr>
      <w:r>
        <w:t xml:space="preserve">13. </w:t>
      </w:r>
      <w:r>
        <w:t xml:space="preserve">[SEÇENEK — dosyanıza uyuyorsa kullanın: mağdur şikâyetinden vazgeçtiyse ya da lehe beyan verdiyse] Mağdur [gg.aa.2026] tarihinde [duruşmada / savcılıkta] kendi iradesiyle [şikâyetçi olmadığını / zararının giderildiğini / olayın anlatıldığı gibi geçmediğini] beyan etmiştir. Yağma şikâyete bağlı bir suç olmadığından bu beyanın davayı düşürmeyeceğinin farkındayım. Ancak beyan, mağdur üzerinde baskı kurma ihtimalinin kalmadığını gösterir ve ölçülülük değerlendirmesinde gözetilmelidir. Beyan, benim ya da ailemin mağdurla temasıyla değil, [mağdurun kendi başvurusuyla] dosyaya girmiştir.</w:t>
      </w:r>
    </w:p>
    <w:p>
      <w:pPr>
        <w:jc w:val="both"/>
        <w:spacing w:after="120" w:line="276" w:lineRule="auto"/>
      </w:pPr>
      <w:r>
        <w:t xml:space="preserve">14. </w:t>
      </w:r>
      <w:r>
        <w:t xml:space="preserve">[SEÇENEK — dosyanıza uyuyorsa kullanın: suç tarihinde 18 yaşından küçükseniz] Suç tarihinde [...] yaşındaydım. CMK 102/5 uyarınca tutukluluk üst süreleri benim için [15 yaşını doldurmadıysanız: yarı / 18 yaşını doldurmadıysanız: dörtte üç] oranında uygulanır ve TCK 31 uyarınca cezada indirim yapılacaktır. Cezaevinde geçen her ay, eğitimimi ve ailemle bağımı doğrudan zedelemektedir [okul ve aile belgeleri ekte].</w:t>
      </w:r>
    </w:p>
    <w:p>
      <w:pPr>
        <w:jc w:val="both"/>
        <w:spacing w:after="120" w:line="276" w:lineRule="auto"/>
      </w:pPr>
      <w:r>
        <w:t xml:space="preserve">15. </w:t>
      </w:r>
      <w:r>
        <w:t xml:space="preserve">[SEÇENEK — dosyanıza uyuyorsa kullanın: aynı dosyadaki diğer şüpheliler tahliye edildiyse ya da gecikme sizden kaynaklanmıyorsa] Aynı olay nedeniyle tutuklanan [diğer şüpheli/sanık] [gg.aa.2026] tarihinde adli kontrolle tahliye edilmiştir; dosyadaki konumum ondan ağır değildir. [Duruşma, [bilirkişi raporunun / kamera kayıtlarının / tanığın] beklenmesi nedeniyle ertelenmiştir; gecikmenin bana yüklenebilecek bir sebebi yoktur.]</w:t>
      </w:r>
    </w:p>
    <w:p>
      <w:pPr>
        <w:jc w:val="both"/>
        <w:spacing w:after="120" w:line="276" w:lineRule="auto"/>
      </w:pPr>
      <w:r>
        <w:rPr>
          <w:b/>
          <w:bCs/>
        </w:rPr>
        <w:t xml:space="preserve">HUKUKİ NEDENLER:</w:t>
      </w:r>
      <w:r>
        <w:t xml:space="preserve"> Anayasa m.19; AİHS m.5; CMK m.100, 101, 102, 104, 105, 108, 109; TCK m.31, 35, 62, 63, 148, 150, 168; [varsa emsal karar künyesi].</w:t>
      </w:r>
    </w:p>
    <w:p>
      <w:pPr>
        <w:jc w:val="both"/>
        <w:spacing w:after="120" w:line="276" w:lineRule="auto"/>
      </w:pPr>
      <w:r>
        <w:rPr>
          <w:b/>
          <w:bCs/>
        </w:rPr>
        <w:t xml:space="preserve">DELİLLER:</w:t>
      </w:r>
      <w:r>
        <w:t xml:space="preserve"> Dosya kapsamı, [kamera inceleme raporu], [teşhis tutanağı ve duruşma tutanağı], [iade tutanağı / dekont], [mağdurun beyanı], yerleşim yeri belgesi, işveren yazısı veya öğrenci belgesi, ceza infaz kurumunun disiplin durumu yazısı, [sağlık raporu] ve her türlü yasal delil.</w:t>
      </w:r>
    </w:p>
    <w:p>
      <w:pPr>
        <w:jc w:val="both"/>
        <w:spacing w:after="120" w:line="276" w:lineRule="auto"/>
      </w:pPr>
      <w:r>
        <w:rPr>
          <w:b/>
          <w:bCs/>
        </w:rPr>
        <w:t xml:space="preserve">SONUÇ VE İSTEM:</w:t>
      </w:r>
      <w:r>
        <w:t xml:space="preserve"> Açıkladığım ve resen gözetilecek nedenlerle;</w:t>
      </w:r>
    </w:p>
    <w:p>
      <w:pPr>
        <w:jc w:val="both"/>
        <w:spacing w:after="120" w:line="276" w:lineRule="auto"/>
      </w:pPr>
      <w:r>
        <w:t xml:space="preserve">1. </w:t>
      </w:r>
      <w:r>
        <w:t xml:space="preserve">Tutukluluk hâlimin sona erdirilerek TAHLİYEME,</w:t>
      </w:r>
    </w:p>
    <w:p>
      <w:pPr>
        <w:jc w:val="both"/>
        <w:spacing w:after="120" w:line="276" w:lineRule="auto"/>
      </w:pPr>
      <w:r>
        <w:t xml:space="preserve">2. </w:t>
      </w:r>
      <w:r>
        <w:t xml:space="preserve">Aksi kanaate varılırsa, CMK 109/3 uyarınca yurt dışına çıkış yasağı, [haftada ... gün] imza, mağdurun konutuna ve işyerine gitmeme, gerekirse konutu terk etmeme yükümlülüklerinden uygun görülenleri uygulanarak SALIVERİLMEME,</w:t>
      </w:r>
    </w:p>
    <w:p>
      <w:pPr>
        <w:jc w:val="both"/>
        <w:spacing w:after="120" w:line="276" w:lineRule="auto"/>
      </w:pPr>
      <w:r>
        <w:t xml:space="preserve">3. </w:t>
      </w:r>
      <w:r>
        <w:t xml:space="preserve">Talebimin CMK 105/1 uyarınca üç gün içinde karara bağlanmasına,</w:t>
      </w:r>
    </w:p>
    <w:p>
      <w:pPr>
        <w:jc w:val="both"/>
        <w:spacing w:after="120" w:line="276" w:lineRule="auto"/>
      </w:pPr>
      <w:r>
        <w:t xml:space="preserve">4. </w:t>
      </w:r>
      <w:r>
        <w:t xml:space="preserve">Talebim reddedilirse kararın CMK 101/2'ye uygun olarak somut olgulara dayanan gerekçe içermesine ve bir örneğinin tarafıma verilmesine,</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Talep Eden [Şüpheli / Sanık]</w:t>
      </w:r>
    </w:p>
    <w:p>
      <w:pPr>
        <w:jc w:val="right"/>
        <w:spacing w:after="120" w:line="276" w:lineRule="auto"/>
      </w:pPr>
      <w:r>
        <w:t xml:space="preserve">[Ad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[Kamera inceleme raporu, teşhis veya duruşma tutanağının ilgili sayfası]</w:t>
      </w:r>
    </w:p>
    <w:p>
      <w:pPr>
        <w:jc w:val="both"/>
        <w:spacing w:after="120" w:line="276" w:lineRule="auto"/>
      </w:pPr>
      <w:r>
        <w:t xml:space="preserve">2. </w:t>
      </w:r>
      <w:r>
        <w:t xml:space="preserve">[İade tutanağı / dekont / mağdurun beyanı]</w:t>
      </w:r>
    </w:p>
    <w:p>
      <w:pPr>
        <w:jc w:val="both"/>
        <w:spacing w:after="120" w:line="276" w:lineRule="auto"/>
      </w:pPr>
      <w:r>
        <w:t xml:space="preserve">3. </w:t>
      </w:r>
      <w:r>
        <w:t xml:space="preserve">Yerleşim yeri belgesi, işveren yazısı veya öğrenci belgesi</w:t>
      </w:r>
    </w:p>
    <w:p>
      <w:pPr>
        <w:jc w:val="both"/>
        <w:spacing w:after="120" w:line="276" w:lineRule="auto"/>
      </w:pPr>
      <w:r>
        <w:t xml:space="preserve">4. </w:t>
      </w:r>
      <w:r>
        <w:t xml:space="preserve">Ceza infaz kurumundan disiplin durumu yazısı</w:t>
      </w:r>
    </w:p>
    <w:p>
      <w:pPr>
        <w:jc w:val="both"/>
        <w:spacing w:after="120" w:line="276" w:lineRule="auto"/>
      </w:pPr>
      <w:r>
        <w:t xml:space="preserve">5. </w:t>
      </w:r>
      <w:r>
        <w:t xml:space="preserve">[Nüfus kaydı, sağlık raporu, bakım yükünü gösteren belge]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