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 (soruşturma) / [İL] [NO]. ASLİYE CEZA MAHKEMESİ HÂKİMLİĞİNE / [İL] [NO]. AĞIR CEZA MAHKEMESİ BAŞKANLIĞINA (kovuşturma) / [İL] BÖLGE ADLİYE MAHKEMESİ [NO]. CEZA DAİRESİ BAŞKANLIĞINA (istinaf)</w:t>
      </w:r>
    </w:p>
    <w:p>
      <w:pPr>
        <w:jc w:val="both"/>
        <w:spacing w:after="120" w:line="276" w:lineRule="auto"/>
      </w:pPr>
      <w:r>
        <w:rPr>
          <w:b/>
          <w:bCs/>
        </w:rPr>
        <w:t xml:space="preserve">DOSYA NO:</w:t>
      </w:r>
      <w:r>
        <w:t xml:space="preserve"> [Soruşturma no / D. İş no / Esas no]</w:t>
      </w:r>
    </w:p>
    <w:p>
      <w:pPr>
        <w:jc w:val="both"/>
        <w:spacing w:after="120" w:line="276" w:lineRule="auto"/>
      </w:pPr>
      <w:r>
        <w:rPr>
          <w:b/>
          <w:bCs/>
        </w:rPr>
        <w:t xml:space="preserve">TALEPTE BULUNAN [ŞÜPHELİ / SANIK]:</w:t>
      </w:r>
      <w:r>
        <w:t xml:space="preserve"> [Ad Soyad], T.C. Kimlik No: [...........]</w:t>
      </w:r>
    </w:p>
    <w:p>
      <w:pPr>
        <w:jc w:val="both"/>
        <w:spacing w:after="120" w:line="276" w:lineRule="auto"/>
      </w:pPr>
      <w:r>
        <w:t xml:space="preserve">[...] Ceza İnfaz Kurumunda tutuklu</w:t>
      </w:r>
    </w:p>
    <w:p>
      <w:pPr>
        <w:jc w:val="both"/>
        <w:spacing w:after="120" w:line="276" w:lineRule="auto"/>
      </w:pPr>
      <w:r>
        <w:t xml:space="preserve">[varsa: MÜDAFİİ: Av. Ad Soyad, baro ve sicil no]</w:t>
      </w:r>
    </w:p>
    <w:p>
      <w:pPr>
        <w:jc w:val="both"/>
        <w:spacing w:after="120" w:line="276" w:lineRule="auto"/>
      </w:pPr>
      <w:r>
        <w:rPr>
          <w:b/>
          <w:bCs/>
        </w:rPr>
        <w:t xml:space="preserve">SUÇ:</w:t>
      </w:r>
      <w:r>
        <w:t xml:space="preserve"> [İddianamedeki ya da tutuklama kararındaki madde: TCK 102/1, 102/2, 103/1, 103/2; varsa nitelikli hâl]</w:t>
      </w:r>
    </w:p>
    <w:p>
      <w:pPr>
        <w:jc w:val="both"/>
        <w:spacing w:after="120" w:line="276" w:lineRule="auto"/>
      </w:pPr>
      <w:r>
        <w:rPr>
          <w:b/>
          <w:bCs/>
        </w:rPr>
        <w:t xml:space="preserve">TUTUKLANMA TARİHİ:</w:t>
      </w:r>
      <w:r>
        <w:t xml:space="preserve"> [gg.aa.yyyy]</w:t>
      </w:r>
    </w:p>
    <w:p>
      <w:pPr>
        <w:jc w:val="both"/>
        <w:spacing w:after="120" w:line="276" w:lineRule="auto"/>
      </w:pPr>
      <w:r>
        <w:rPr>
          <w:b/>
          <w:bCs/>
        </w:rPr>
        <w:t xml:space="preserve">SON TUTUKLULUK İNCELEMESİ VEYA SON RET KARARI:</w:t>
      </w:r>
      <w:r>
        <w:t xml:space="preserve"> [gg.aa.yyyy]</w:t>
      </w:r>
    </w:p>
    <w:p>
      <w:pPr>
        <w:jc w:val="both"/>
        <w:spacing w:after="120" w:line="276" w:lineRule="auto"/>
      </w:pPr>
      <w:r>
        <w:rPr>
          <w:b/>
          <w:bCs/>
        </w:rPr>
        <w:t xml:space="preserve">TUTUKLULUKTA GEÇEN SÜRE:</w:t>
      </w:r>
      <w:r>
        <w:t xml:space="preserve"> [... ay ... gün]</w:t>
      </w:r>
    </w:p>
    <w:p>
      <w:pPr>
        <w:jc w:val="both"/>
        <w:spacing w:after="120" w:line="276" w:lineRule="auto"/>
      </w:pPr>
      <w:r>
        <w:rPr>
          <w:b/>
          <w:bCs/>
        </w:rPr>
        <w:t xml:space="preserve">KONU:</w:t>
      </w:r>
      <w:r>
        <w:t xml:space="preserve"> Son tutukluluk değerlendirmesinden bu yana dosyaya giren yeni deliller ve değişen koşullar nedeniyle tahliyem, olmadığı takdirde mağdurun korunmasına yönelik adli kontrol yükümlülükleriyle salıverilmem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Talep ve zaman çizelgesi:</w:t>
      </w:r>
      <w:r>
        <w:t xml:space="preserve"> [gg.aa.yyyy] tarihinde tutuklandım. Tutukluluğumun devamına en son [gg.aa.yyyy] tarihinde [tutukluluk incelemesiyle / tahliye talebimin reddiyle] karar verildi. O tarihten bu yana [... gün] geçmiş ve aşağıda tarihleriyle gösterdiğim gelişmeler olmuştur. CMK 104/1 uyarınca salıverilmemi talep ediyorum.</w:t>
      </w:r>
    </w:p>
    <w:p>
      <w:pPr>
        <w:jc w:val="both"/>
        <w:spacing w:after="120" w:line="276" w:lineRule="auto"/>
      </w:pPr>
      <w:r>
        <w:t xml:space="preserve">2. </w:t>
      </w:r>
      <w:r>
        <w:rPr>
          <w:b/>
          <w:bCs/>
        </w:rPr>
        <w:t xml:space="preserve">Tutukluluğu taşıyan gerekçeler artık yoktur:</w:t>
      </w:r>
      <w:r>
        <w:t xml:space="preserve"> Tutuklama kararında ve devam kararlarında [mağdurun beyanının alınmadığı / adli tıp raporunun beklendiği / telefon incelemesinin sürdüğü / mağdurla aynı konutta yaşadığım] gerekçesine dayanılmıştı. Bu gerekçelerin her biri aşağıdaki gelişmelerle karşılanmıştır. Gerekçesi ortadan kalkan bir koruma tedbirinin sürmesi, CMK 100/1'deki ölçülülük kuralıyla bağdaşmaz.</w:t>
      </w:r>
    </w:p>
    <w:p>
      <w:pPr>
        <w:jc w:val="both"/>
        <w:spacing w:after="120" w:line="276" w:lineRule="auto"/>
      </w:pPr>
      <w:r>
        <w:t xml:space="preserve">3. </w:t>
      </w:r>
      <w:r>
        <w:rPr>
          <w:b/>
          <w:bCs/>
        </w:rPr>
        <w:t xml:space="preserve">Mağdurun beyanı alınmış ve kayda geçmiştir:</w:t>
      </w:r>
      <w:r>
        <w:t xml:space="preserve"> Mağdurun anlatımı [gg.aa.yyyy] tarihinde [çocuk izlem merkezinde / adli görüşme odasında / duruşmada] uzman eşliğinde alınmıştır. Suçun etkisiyle psikolojisi bozulmuş mağdur kural olarak bir defa dinlenir (CMK 236/2). [Organ sokma iddiasında: beyan ve görüntüler kayda alınmış ve dosyada saklanmaktadır (CMK 236/5-7); mağdur çocuk kovuşturmada ancak maddi gerçeğin ortaya çıkarılması için zorunluluk varsa yeniden dinlenebilir.] Dolayısıyla mağdurun anlatımını etkileme ihtimalinden söz edilemez; ilk kararda dayanılan baskı tehlikesi somut dayanağını yitirmiştir.</w:t>
      </w:r>
    </w:p>
    <w:p>
      <w:pPr>
        <w:jc w:val="both"/>
        <w:spacing w:after="120" w:line="276" w:lineRule="auto"/>
      </w:pPr>
      <w:r>
        <w:t xml:space="preserve">4. </w:t>
      </w:r>
      <w:r>
        <w:rPr>
          <w:b/>
          <w:bCs/>
        </w:rPr>
        <w:t xml:space="preserve">Adli tıp ve laboratuvar sonuçları dosyaya girmiştir:</w:t>
      </w:r>
      <w:r>
        <w:t xml:space="preserve"> [gg.aa.yyyy] tarihli [Adli Tıp Kurumu / hastane] raporunda [şu tespit yer almaktadır: ...]. [Biyolojik örneklerin incelenmesine ilişkin gg.aa.yyyy tarihli raporda, alınan örneklerin bana ait olmadığı / incelenebilir örnek bulunmadığı belirtilmiştir.] İlk tutuklama, bu raporların sonucunun aleyhime çıkabileceği varsayımına dayanıyordu. Sonuç bu varsayımı doğrulamadığına göre kuvvetli suç şüphesi yeniden ve bugünkü delil durumuna göre değerlendirilmelidir.</w:t>
      </w:r>
    </w:p>
    <w:p>
      <w:pPr>
        <w:jc w:val="both"/>
        <w:spacing w:after="120" w:line="276" w:lineRule="auto"/>
      </w:pPr>
      <w:r>
        <w:t xml:space="preserve">5. </w:t>
      </w:r>
      <w:r>
        <w:rPr>
          <w:b/>
          <w:bCs/>
        </w:rPr>
        <w:t xml:space="preserve">Kaçma ihtimali zaman içinde daha da azalmıştır:</w:t>
      </w:r>
      <w:r>
        <w:t xml:space="preserve"> [... aydır] tutukluyum ve bu süre mahkûmiyet hâlinde cezamdan indirilecektir (TCK 63/1). Ailem [adres] adresinde oturmaya devam etmektedir; [iş yerim beni yeniden işe alacağını yazılı olarak bildirmiştir]. Pasaportum [yoktur / adliyeye teslim edilmiştir]. İsnat iddianameyle netleşmiş, sanık olarak yargılanacağım mahkeme ve duruşma günü belli olmuştur. Bu koşullarda yargılamadan kaçmam için somut hiçbir neden bulunmamaktadır.</w:t>
      </w:r>
    </w:p>
    <w:p>
      <w:pPr>
        <w:jc w:val="both"/>
        <w:spacing w:after="120" w:line="276" w:lineRule="auto"/>
      </w:pPr>
      <w:r>
        <w:t xml:space="preserve">6. </w:t>
      </w:r>
      <w:r>
        <w:rPr>
          <w:b/>
          <w:bCs/>
        </w:rPr>
        <w:t xml:space="preserve">Tutukluluğun süresi ölçülülüğü aşmıştır:</w:t>
      </w:r>
      <w:r>
        <w:t xml:space="preserve"> Tutuklulukta geçen [... ay], dosyadaki delil durumunun gösterdiği muhtemel sonuçla birlikte tartılmalıdır. Raporların ardından tartışma [sarkıntılık düzeyindeki bir eyleme / organ sokma unsuru bulunmayan bir eyleme] daralmıştır. Davaya bakan mahkemenin görevine göre CMK 102'de öngörülen üst süre [soruşturmada asliye ceza işinde altı ay / ağır ceza işinde bir yıl (CMK 102/4); toplamda asliye ceza işinde bir yıl, zorunlu hâlde altı ay uzatmayla / ağır ceza işinde iki yıl, uzatmalarla en çok beş yıl] olup bu sınıra yaklaşılması da tek başına bir değerlendirme nedenidir. [Suç tarihinde on sekiz yaşından küçüktüm; süreler CMK 102/5 uyarınca kısaltılmış uygulanır.]</w:t>
      </w:r>
    </w:p>
    <w:p>
      <w:pPr>
        <w:jc w:val="both"/>
        <w:spacing w:after="120" w:line="276" w:lineRule="auto"/>
      </w:pPr>
      <w:r>
        <w:t xml:space="preserve">7. </w:t>
      </w:r>
      <w:r>
        <w:rPr>
          <w:b/>
          <w:bCs/>
        </w:rPr>
        <w:t xml:space="preserve">Mağdurun korunması adli kontrolle sağlanabilir:</w:t>
      </w:r>
      <w:r>
        <w:t xml:space="preserve"> Salıverilmem hâlinde [mağdurun konutundan ayrı olarak ... adresinde] oturacağım; [kira sözleşmesi / ev sahibinin yazılı beyanı] ektedir. Mağdurun bulunduğu konuta, okula ve iş yerine gitmeme (CMK 109/3-l), [il/ilçe] sınırlarını terk etmeme (109/3-k), yurt dışına çıkamama (109/3-a), haftada [...] gün kolluğa başvurma (109/3-b) ve gerekirse konutu terk etmeme (109/3-j) yükümlülüklerini kabul ediyorum. Bu yükümlülüklerin elektronik izlemeyle denetlenmesine de itirazım yoktur. [varsa: 6284 sayılı Kanun uyarınca verilen uzaklaştırma kararı hâlen yürürlüktedir.]</w:t>
      </w:r>
    </w:p>
    <w:p>
      <w:pPr>
        <w:jc w:val="both"/>
        <w:spacing w:after="120" w:line="276" w:lineRule="auto"/>
      </w:pPr>
      <w:r>
        <w:t xml:space="preserve">8. </w:t>
      </w:r>
      <w:r>
        <w:rPr>
          <w:b/>
          <w:bCs/>
        </w:rPr>
        <w:t xml:space="preserve">Devam kararları gerekçesizdir:</w:t>
      </w:r>
      <w:r>
        <w:t xml:space="preserve"> Tutukluluk incelemelerinde verilen kararlar "mevcut delil durumu, tutuklulukta geçen süre ve atılı suçun niteliği" gibi her dosyada aynen tekrarlanan kalıplarla kurulmuştur. CMK 101/2, gerekçe yükümlülüğünü yalnız ilk tutuklama için değil, tutukluluğun devamına ve tahliye isteminin reddine ilişkin kararlar için de öngörür. Dosyaya giren yeni deliller karşısında hangi tutuklama nedeninin hâlâ sürdüğü somut olarak gösterilmedikçe tutukluluğa devam edilemez.</w:t>
      </w:r>
    </w:p>
    <w:p>
      <w:pPr>
        <w:jc w:val="both"/>
        <w:spacing w:after="120" w:line="276" w:lineRule="auto"/>
      </w:pPr>
      <w:r>
        <w:t xml:space="preserve">9. </w:t>
      </w:r>
      <w:r>
        <w:t xml:space="preserve">[SEÇENEK — dosyanıza uyuyorsa kullanın: biyolojik inceleme sonucu lehinizeyse] [gg.aa.yyyy] tarihli DNA incelemesinde [mağdurdan ya da olay yerinden alınan örneklerde bana ait bir profil bulunmamıştır / başka bir kişiye ait profil tespit edilmiştir]. Mağdurun anlatımını destekleyeceği düşünülen tek bağımsız delil bu sonuçla ortadan kalkmıştır. Bu hâlde kuvvetli şüphe, yalnız anlatıma dayanır hâle gelmiştir.</w:t>
      </w:r>
    </w:p>
    <w:p>
      <w:pPr>
        <w:jc w:val="both"/>
        <w:spacing w:after="120" w:line="276" w:lineRule="auto"/>
      </w:pPr>
      <w:r>
        <w:t xml:space="preserve">10. </w:t>
      </w:r>
      <w:r>
        <w:t xml:space="preserve">[SEÇENEK — dosyanıza uyuyorsa kullanın: raporda organ sokma bulgusu yoksa] Adli tıp raporunda vücuda organ veya cisim sokulduğunu gösteren bir bulgu bulunmadığı belirtilmiştir. Bu durumda TCK 102/2 veya 103/2 nitelendirmesinin dayanağı kalmamıştır. Eylem en fazla [102/1 / 103/1] kapsamında tartışılabilir. Nitelendirmenin değişmesi beklenen cezayı, görevli mahkemeyi ve uygulanacak tutukluluk üst süresini birlikte değiştirir. [İsnat 102/1'e dönüşüyorsa: bu fıkra CMK 100/3'teki kataloğun dışındadır.]</w:t>
      </w:r>
    </w:p>
    <w:p>
      <w:pPr>
        <w:jc w:val="both"/>
        <w:spacing w:after="120" w:line="276" w:lineRule="auto"/>
      </w:pPr>
      <w:r>
        <w:t xml:space="preserve">11. </w:t>
      </w:r>
      <w:r>
        <w:t xml:space="preserve">[SEÇENEK — dosyanıza uyuyorsa kullanın: mağdur 15-18 yaş arasındaysa ve psikiyatri raporu alındıysa] [gg.aa.yyyy] tarihli raporda mağdurun fiilin hukuki anlam ve sonuçlarını algılama yeteneğinin [geliştiği] belirtilmiştir. On beş yaşını tamamlamış ve algılama yeteneği gelişmiş çocuğa yönelik davranış, ancak cebir, tehdit, hile veya iradeyi etkileyen başka bir nedene dayanıyorsa TCK 103 kapsamına girer (TCK 103/1-b). Dosyada böyle bir neden gösterilmemişse ve aramızda evlenme yasağı ya da bakım ilişkisi yoksa eylem, cinsel ilişki varsa şikâyete bağlı TCK 104/1 kapsamında tartışılır; bu suç tutuklama kataloğunda yer almaz.</w:t>
      </w:r>
    </w:p>
    <w:p>
      <w:pPr>
        <w:jc w:val="both"/>
        <w:spacing w:after="120" w:line="276" w:lineRule="auto"/>
      </w:pPr>
      <w:r>
        <w:t xml:space="preserve">12. </w:t>
      </w:r>
      <w:r>
        <w:t xml:space="preserve">[SEÇENEK — dosyanıza uyuyorsa kullanın: tanıklar dinlendiyse veya ilk duruşma yapıldıysa] [gg.aa.yyyy] tarihli duruşmada [tanık ... / mağdurun annesi / olay yerindeki ...] dinlenmiştir. Bu tanıklar [olayı görmediklerini / anlatımı ilk kez olaydan ... gün sonra duyduklarını] belirtmiştir. Dinlenecek başka tanık kalmadığından tanık üzerinde etki ihtimali de ortadan kalkmıştır.</w:t>
      </w:r>
    </w:p>
    <w:p>
      <w:pPr>
        <w:jc w:val="both"/>
        <w:spacing w:after="120" w:line="276" w:lineRule="auto"/>
      </w:pPr>
      <w:r>
        <w:t xml:space="preserve">13. </w:t>
      </w:r>
      <w:r>
        <w:t xml:space="preserve">[SEÇENEK — dosyanıza uyuyorsa kullanın: dijital inceleme tamamlandıysa] El konulan telefon ve bilgisayarlarımın incelemesi bitmiş, [gg.aa.yyyy] tarihli bilirkişi raporu dosyaya girmiştir. Raporda [isnatla ilgili bir içerik bulunmadığı / yazışmaların içeriğinin cinsel nitelik taşımadığı] belirtilmiştir. İncelenmiş ve emanette tutulan bir veriyi değiştirmem mümkün değildir.</w:t>
      </w:r>
    </w:p>
    <w:p>
      <w:pPr>
        <w:jc w:val="both"/>
        <w:spacing w:after="120" w:line="276" w:lineRule="auto"/>
      </w:pPr>
      <w:r>
        <w:t xml:space="preserve">14. </w:t>
      </w:r>
      <w:r>
        <w:t xml:space="preserve">[SEÇENEK — dosyanıza uyuyorsa kullanın: isnat TCK 102/1 ise ve şikâyetten vazgeçildiyse] Mağdur [gg.aa.yyyy] tarihli beyanıyla şikâyetinden vazgeçmiştir. Cinsel saldırının temel hâli şikâyete bağlıdır (TCK 102/1); vazgeçme kovuşturma şartını ortadan kaldırır. Vazgeçme beyanının oluşmasında hiçbir etkim bulunmadığını, mağdurla temas kurmadığımı ayrıca belirtirim.</w:t>
      </w:r>
    </w:p>
    <w:p>
      <w:pPr>
        <w:jc w:val="both"/>
        <w:spacing w:after="120" w:line="276" w:lineRule="auto"/>
      </w:pPr>
      <w:r>
        <w:t xml:space="preserve">15. </w:t>
      </w:r>
      <w:r>
        <w:t xml:space="preserve">[SEÇENEK — dosyanıza uyuyorsa kullanın: sağlık ya da aile durumunda yeni bir gelişme varsa] Tutukluyken [... hastalığım ortaya çıkmış / eşim doğum yapmış / bakımımı üstlendiğim annem ağır hastalanmıştır]. Bu durum ekteki [gg.aa.yyyy] tarihli [rapor / belge] ile sabittir. Kurum koşullarında hayatımı yalnız sürdüremeyecek durumdaysam CMK 109/4 kapsamında değerlendirme yapılmasını da talep ederim.</w:t>
      </w:r>
    </w:p>
    <w:p>
      <w:pPr>
        <w:jc w:val="both"/>
        <w:spacing w:after="120" w:line="276" w:lineRule="auto"/>
      </w:pPr>
      <w:r>
        <w:t xml:space="preserve">16. </w:t>
      </w:r>
      <w:r>
        <w:t xml:space="preserve">[SEÇENEK — dosyanıza uyuyorsa kullanın: aynı dosyada başka şüpheliler tahliye edildiyse] Aynı dosyada aynı isnatla tutuklanan [... şüpheli / sanık] [gg.aa.yyyy] tarihinde tahliye edilmiştir. Benim durumumu ondan ayıran somut bir olgu kararda gösterilmemiştir.</w:t>
      </w:r>
    </w:p>
    <w:p>
      <w:pPr>
        <w:jc w:val="both"/>
        <w:spacing w:after="120" w:line="276" w:lineRule="auto"/>
      </w:pPr>
      <w:r>
        <w:rPr>
          <w:b/>
          <w:bCs/>
        </w:rPr>
        <w:t xml:space="preserve">HUKUKİ NEDENLER:</w:t>
      </w:r>
      <w:r>
        <w:t xml:space="preserve"> Anayasa m. 19; Avrupa İnsan Hakları Sözleşmesi m. 5; CMK m. 100, 101, 102, 104, 105, 108, 109, 112, 236; TCK m. 63, 102, 103, [104/1]; [varsa emsal karar künyesi].</w:t>
      </w:r>
    </w:p>
    <w:p>
      <w:pPr>
        <w:jc w:val="both"/>
        <w:spacing w:after="120" w:line="276" w:lineRule="auto"/>
      </w:pPr>
      <w:r>
        <w:rPr>
          <w:b/>
          <w:bCs/>
        </w:rPr>
        <w:t xml:space="preserve">DELİLLER:</w:t>
      </w:r>
      <w:r>
        <w:t xml:space="preserve"> Dosya kapsamı; mağdurun beyanının alındığı tutanak; [gg.aa.yyyy] tarihli adli tıp, DNA, psikiyatri ve dijital inceleme raporları; [duruşma tutanağı]; yerleşim yeri belgesi; [kira sözleşmesi ve yeni adres belgesi]; [işveren yazısı]; [sağlık raporu]; adli sicil kaydı.</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Tutukluluk hâlimin sona erdirilerek TAHLİYEME,</w:t>
      </w:r>
    </w:p>
    <w:p>
      <w:pPr>
        <w:jc w:val="both"/>
        <w:spacing w:after="120" w:line="276" w:lineRule="auto"/>
      </w:pPr>
      <w:r>
        <w:t xml:space="preserve">2. </w:t>
      </w:r>
      <w:r>
        <w:t xml:space="preserve">Aksi kanaate varılırsa CMK 109/3 uyarınca mağdurun bulunduğu yerlere gitmeme, [il/ilçe] sınırlarını terk etmeme, yurt dışına çıkamama ve kolluğa düzenli başvurma yükümlülükleri ile gerekli görülürse elektronik izlemeli konutu terk etmeme yükümlülüğü uygulanarak ADLİ KONTROL ALTINDA SALIVERİLMEME,</w:t>
      </w:r>
    </w:p>
    <w:p>
      <w:pPr>
        <w:jc w:val="both"/>
        <w:spacing w:after="120" w:line="276" w:lineRule="auto"/>
      </w:pPr>
      <w:r>
        <w:t xml:space="preserve">3. </w:t>
      </w:r>
      <w:r>
        <w:t xml:space="preserve">Talebimin CMK 105/1 uyarınca üç gün içinde karara bağlanmasına; reddi hâlinde, yukarıda sayılan yeni delillerin her biri için hangi tutuklama nedeninin sürdüğünün CMK 101/2 uyarınca gösterilmesine,</w:t>
      </w:r>
    </w:p>
    <w:p>
      <w:pPr>
        <w:jc w:val="both"/>
        <w:spacing w:after="120" w:line="276" w:lineRule="auto"/>
      </w:pPr>
      <w:r>
        <w:t xml:space="preserve">4. </w:t>
      </w:r>
      <w:r>
        <w:t xml:space="preserve">[Soruşturma evresindeyseniz: Bir sonraki tutukluluk incelemesinin CMK 108/1 uyarınca şüpheli veya müdafii dinlenerek yapılmasına,]</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Talepte Bulunan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[Adli tıp, DNA, psikiyatri veya dijital inceleme raporunun örneği]</w:t>
      </w:r>
    </w:p>
    <w:p>
      <w:pPr>
        <w:jc w:val="both"/>
        <w:spacing w:after="120" w:line="276" w:lineRule="auto"/>
      </w:pPr>
      <w:r>
        <w:t xml:space="preserve">2. </w:t>
      </w:r>
      <w:r>
        <w:t xml:space="preserve">[Mağdur beyanının alındığını gösteren tutanak veya duruşma tutanağı]</w:t>
      </w:r>
    </w:p>
    <w:p>
      <w:pPr>
        <w:jc w:val="both"/>
        <w:spacing w:after="120" w:line="276" w:lineRule="auto"/>
      </w:pPr>
      <w:r>
        <w:t xml:space="preserve">3. </w:t>
      </w:r>
      <w:r>
        <w:t xml:space="preserve">Yerleşim yeri belgesi ve [yeni adres için kira sözleşmesi]</w:t>
      </w:r>
    </w:p>
    <w:p>
      <w:pPr>
        <w:jc w:val="both"/>
        <w:spacing w:after="120" w:line="276" w:lineRule="auto"/>
      </w:pPr>
      <w:r>
        <w:t xml:space="preserve">4. </w:t>
      </w:r>
      <w:r>
        <w:t xml:space="preserve">[İşveren yazısı, sağlık raporu, aile durumuna ilişkin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