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w:t>
      </w:r>
    </w:p>
    <w:p>
      <w:pPr>
        <w:jc w:val="center"/>
        <w:spacing w:after="120" w:line="276" w:lineRule="auto"/>
      </w:pPr>
      <w:r>
        <w:rPr>
          <w:i/>
          <w:iCs/>
        </w:rPr>
        <w:t xml:space="preserve">[İddianame kabul edildiyse yukarıdaki başlık yerine: İL, NO. AĞIR CEZA MAHKEMESİ BAŞKANLIĞINA]</w:t>
      </w:r>
    </w:p>
    <w:p>
      <w:pPr>
        <w:jc w:val="both"/>
        <w:spacing w:after="120" w:line="276" w:lineRule="auto"/>
      </w:pPr>
      <w:r>
        <w:rPr>
          <w:b/>
          <w:bCs/>
        </w:rPr>
        <w:t xml:space="preserve">SORUŞTURMA NO:</w:t>
      </w:r>
      <w:r>
        <w:t xml:space="preserve"> [yıl/sayı]</w:t>
      </w:r>
    </w:p>
    <w:p>
      <w:pPr>
        <w:jc w:val="both"/>
        <w:spacing w:after="120" w:line="276" w:lineRule="auto"/>
      </w:pPr>
      <w:r>
        <w:rPr>
          <w:b/>
          <w:bCs/>
        </w:rPr>
        <w:t xml:space="preserve">ESAS NO:</w:t>
      </w:r>
      <w:r>
        <w:t xml:space="preserve"> [kovuşturmadaysanız: yıl/sayı]</w:t>
      </w:r>
    </w:p>
    <w:p>
      <w:pPr>
        <w:jc w:val="both"/>
        <w:spacing w:after="120" w:line="276" w:lineRule="auto"/>
      </w:pPr>
      <w:r>
        <w:rPr>
          <w:b/>
          <w:bCs/>
        </w:rPr>
        <w:t xml:space="preserve">TALEPTE BULUNAN:</w:t>
      </w:r>
      <w:r>
        <w:t xml:space="preserve"> [Şüpheli / Sanık] [Ad Soyad], T.C. Kimlik No: [………]</w:t>
      </w:r>
    </w:p>
    <w:p>
      <w:pPr>
        <w:jc w:val="both"/>
        <w:spacing w:after="120" w:line="276" w:lineRule="auto"/>
      </w:pPr>
      <w:r>
        <w:t xml:space="preserve">[……] Ceza İnfaz Kurumunda tutuklu</w:t>
      </w:r>
    </w:p>
    <w:p>
      <w:pPr>
        <w:jc w:val="both"/>
        <w:spacing w:after="120" w:line="276" w:lineRule="auto"/>
      </w:pPr>
      <w:r>
        <w:rPr>
          <w:b/>
          <w:bCs/>
        </w:rPr>
        <w:t xml:space="preserve">MÜDAFİİ:</w:t>
      </w:r>
      <w:r>
        <w:t xml:space="preserve"> [varsa: Av. Ad Soyad, baro sicil no]</w:t>
      </w:r>
    </w:p>
    <w:p>
      <w:pPr>
        <w:jc w:val="both"/>
        <w:spacing w:after="120" w:line="276" w:lineRule="auto"/>
      </w:pPr>
      <w:r>
        <w:rPr>
          <w:b/>
          <w:bCs/>
        </w:rPr>
        <w:t xml:space="preserve">SUÇ:</w:t>
      </w:r>
      <w:r>
        <w:t xml:space="preserve"> TCK 188/3 [iddianamede yer alıyorsa: 188/4, 188/5]</w:t>
      </w:r>
    </w:p>
    <w:p>
      <w:pPr>
        <w:jc w:val="both"/>
        <w:spacing w:after="120" w:line="276" w:lineRule="auto"/>
      </w:pPr>
      <w:r>
        <w:rPr>
          <w:b/>
          <w:bCs/>
        </w:rPr>
        <w:t xml:space="preserve">TUTUKLAMA TARİHİ:</w:t>
      </w:r>
      <w:r>
        <w:t xml:space="preserve"> [gg.aa.yyyy] </w:t>
      </w:r>
      <w:r>
        <w:rPr>
          <w:b/>
          <w:bCs/>
        </w:rPr>
        <w:t xml:space="preserve">TUTUKLULUKTA GEÇEN SÜRE:</w:t>
      </w:r>
      <w:r>
        <w:t xml:space="preserve"> [… ay … gün]</w:t>
      </w:r>
    </w:p>
    <w:p>
      <w:pPr>
        <w:jc w:val="both"/>
        <w:spacing w:after="120" w:line="276" w:lineRule="auto"/>
      </w:pPr>
      <w:r>
        <w:rPr>
          <w:b/>
          <w:bCs/>
        </w:rPr>
        <w:t xml:space="preserve">SON TUTUKLULUK İNCELEMESİ / RET KARARI:</w:t>
      </w:r>
      <w:r>
        <w:t xml:space="preserve"> [gg.aa.yyyy]</w:t>
      </w:r>
    </w:p>
    <w:p>
      <w:pPr>
        <w:jc w:val="both"/>
        <w:spacing w:after="120" w:line="276" w:lineRule="auto"/>
      </w:pPr>
      <w:r>
        <w:rPr>
          <w:b/>
          <w:bCs/>
        </w:rPr>
        <w:t xml:space="preserve">KONU:</w:t>
      </w:r>
      <w:r>
        <w:t xml:space="preserve"> Son tutukluluk incelemesinden sonra dosyaya giren rapor ve belgeler karşısında tutukluluğumun devamı için kanuni şartlar kalmadığından salıverilmem, olmazsa adli kontrol altında serbest bırakılmam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Talebin dayanağı yeni olgulardır.</w:t>
      </w:r>
      <w:r>
        <w:t xml:space="preserve"> [gg.aa.yyyy] tarihinden beri tutukluyum. Tutukluluğumun devamına en son [gg.aa.yyyy] tarihinde karar verildi. Bu talebim, o tarihten sonra dosyaya giren ve aşağıda sıraladığım gelişmelere dayanmaktadır; önceki taleplerimin tekrarı değildir. CMK 104/1 salıverilme isteminin her aşamada yapılabileceğini düzenler.</w:t>
      </w:r>
    </w:p>
    <w:p>
      <w:pPr>
        <w:jc w:val="both"/>
        <w:spacing w:after="120" w:line="276" w:lineRule="auto"/>
      </w:pPr>
      <w:r>
        <w:t xml:space="preserve">2. </w:t>
      </w:r>
      <w:r>
        <w:rPr>
          <w:b/>
          <w:bCs/>
        </w:rPr>
        <w:t xml:space="preserve">Ekspertiz raporu ilk tespiti değiştirmiştir.</w:t>
      </w:r>
      <w:r>
        <w:t xml:space="preserve"> Tutuklama sırasında tutanaktaki [… gram] brüt ağırlık esas alınmıştı. [gg.aa.yyyy] tarihli [Adli Tıp Kurumu / kriminal polis laboratuvarı] raporuna göre net miktar [… gram], etken madde oranı (saflık) [%…] olarak belirlenmiştir. [Raporda maddenin TCK 188/4-a'da sayılan bir türev olmadığı tespit edilmiştir.] Böylece tutuklamaya dayanak yapılan "yüklü miktar" değerlendirmesi bilimsel verilerle desteklenmemiş olmaktadır.</w:t>
      </w:r>
    </w:p>
    <w:p>
      <w:pPr>
        <w:jc w:val="both"/>
        <w:spacing w:after="120" w:line="276" w:lineRule="auto"/>
      </w:pPr>
      <w:r>
        <w:t xml:space="preserve">3. </w:t>
      </w:r>
      <w:r>
        <w:rPr>
          <w:b/>
          <w:bCs/>
        </w:rPr>
        <w:t xml:space="preserve">İletişim incelemesi satış ilişkisini ortaya koymamıştır.</w:t>
      </w:r>
      <w:r>
        <w:t xml:space="preserve"> Telefonumla ilgili [gg.aa.yyyy] tarihli HTS analiz raporu ve CMK 134 uyarınca yapılan inceleme tutanağı dosyaya girmiştir. Bu belgelerde [madde adı, fiyat veya teslim yeri geçen bir yazışma / tespit edilmiş bir alıcı / para transferi] bulunmamaktadır. Raporda yer alan görüşmeler [akraba / iş] ilişkisiyle açıklanabilir niteliktedir. Soruşturmanın başında "kayıtların incelenmesi gerektiği" gerekçesiyle sürdürülen tutukluluğun bu dayanağı ortadan kalkmıştır.</w:t>
      </w:r>
    </w:p>
    <w:p>
      <w:pPr>
        <w:jc w:val="both"/>
        <w:spacing w:after="120" w:line="276" w:lineRule="auto"/>
      </w:pPr>
      <w:r>
        <w:t xml:space="preserve">4. </w:t>
      </w:r>
      <w:r>
        <w:rPr>
          <w:b/>
          <w:bCs/>
        </w:rPr>
        <w:t xml:space="preserve">Delil toplama evresi bitmiştir.</w:t>
      </w:r>
      <w:r>
        <w:t xml:space="preserve"> [gg.aa.yyyy] tarihinde iddianame düzenlenmiş ve [gg.aa.yyyy] tarihinde kabul edilmiştir. [İlk duruşma gg.aa.yyyy tarihinde yapılmış, tanıklar ve kolluk görevlileri dinlenmiştir.] El konulan bütün eşya ve kayıtlar mahkeme emanetindedir. Delilleri yok etme veya tanık üzerinde baskı kurma ihtimali (CMK 100/2-b) artık hiçbir somut olguya bağlanamaz.</w:t>
      </w:r>
    </w:p>
    <w:p>
      <w:pPr>
        <w:jc w:val="both"/>
        <w:spacing w:after="120" w:line="276" w:lineRule="auto"/>
      </w:pPr>
      <w:r>
        <w:t xml:space="preserve">5. </w:t>
      </w:r>
      <w:r>
        <w:rPr>
          <w:b/>
          <w:bCs/>
        </w:rPr>
        <w:t xml:space="preserve">Kuvvetli şüphe yeniden tartılmalıdır.</w:t>
      </w:r>
      <w:r>
        <w:t xml:space="preserve"> Gelen raporlarla birlikte dosya, kullanmak için bulundurma (TCK 191/1) nitelendirmesine yaklaşmıştır: [gg.aa.yyyy] tarihli [idrar / kan / saç] analizinde madde kullanımım tespit edilmiş, ele geçen miktar kullanıcı ihtiyacıyla açıklanabilir düzeydedir ve satış ilişkisi gösterilememiştir. TCK 191/1 katalogda yer almaz; bu suçta kovuşturma evresinde dahi hükmün açıklanmasının geri bırakılması öngörülmüştür (TCK 191/8).</w:t>
      </w:r>
    </w:p>
    <w:p>
      <w:pPr>
        <w:jc w:val="both"/>
        <w:spacing w:after="120" w:line="276" w:lineRule="auto"/>
      </w:pPr>
      <w:r>
        <w:t xml:space="preserve">6. </w:t>
      </w:r>
      <w:r>
        <w:rPr>
          <w:b/>
          <w:bCs/>
        </w:rPr>
        <w:t xml:space="preserve">Tutuklulukta geçen süre ölçülülük dengesini değiştirmiştir.</w:t>
      </w:r>
      <w:r>
        <w:t xml:space="preserve"> [… ay] tutuklu kaldım. TCK 188/3'ten mahkûmiyet hâlinde bile [TCK 62 / TCK 192/3] indirimleriyle muhtemel ceza [… yıl … ay] civarındadır; bu suçta koşullu salıverilme oranı dörtte üçtür (İnfaz Kanunu m.108/9) ve tutuklulukta geçen her gün cezadan mahsup edilir (TCK 63). Tutukluluk süresi uzadıkça kaçma saiki azalır; kanun koyucu da tutukluluğu CMK 102/2 ile üst sınırlara bağlamıştır. Kişinin hüküm verilmeden cezasının önemli bölümünü çekmesi, tutuklamanın amacıyla bağdaşmaz.</w:t>
      </w:r>
    </w:p>
    <w:p>
      <w:pPr>
        <w:jc w:val="both"/>
        <w:spacing w:after="120" w:line="276" w:lineRule="auto"/>
      </w:pPr>
      <w:r>
        <w:t xml:space="preserve">7. </w:t>
      </w:r>
      <w:r>
        <w:rPr>
          <w:b/>
          <w:bCs/>
        </w:rPr>
        <w:t xml:space="preserve">Kaçma şüphesi doğuran bir olgu oluşmamıştır.</w:t>
      </w:r>
      <w:r>
        <w:t xml:space="preserve"> Tutuklu kaldığım süre boyunca ailem [adres] adresinde yaşamaya devam etmiştir. [İşverenim, tahliyem hâlinde işime döneceğimi bildiren yazı vermiştir.] [Pasaportum yoktur.] Kurumda hakkımda disiplin cezası bulunmamaktadır.</w:t>
      </w:r>
    </w:p>
    <w:p>
      <w:pPr>
        <w:jc w:val="both"/>
        <w:spacing w:after="120" w:line="276" w:lineRule="auto"/>
      </w:pPr>
      <w:r>
        <w:t xml:space="preserve">8. </w:t>
      </w:r>
      <w:r>
        <w:rPr>
          <w:b/>
          <w:bCs/>
        </w:rPr>
        <w:t xml:space="preserve">Önceki kararlar gerekçe yönünden eksiktir.</w:t>
      </w:r>
      <w:r>
        <w:t xml:space="preserve"> Tutukluluğun devamına ilişkin [gg.aa.yyyy] ve [gg.aa.yyyy] tarihli kararlarda aynı kalıp ifade tekrarlanmıştır: "mevcut delil durumu, suçun niteliği, tutuklulukta geçen süre". CMK 101/2, tahliye isteminin reddine ilişkin kararlarda da kuvvetli şüphenin, tutuklama nedeninin, ölçülülüğün ve adli kontrolün yetersizliğinin somut olgularla gösterilmesini ister. Yukarıda sayılan raporlar geldikten sonra bu kalıbın tekrarlanması, yeni olguların hiç tartışılmadığı anlamına gelir.</w:t>
      </w:r>
    </w:p>
    <w:p>
      <w:pPr>
        <w:jc w:val="both"/>
        <w:spacing w:after="120" w:line="276" w:lineRule="auto"/>
      </w:pPr>
      <w:r>
        <w:t xml:space="preserve">9. </w:t>
      </w:r>
      <w:r>
        <w:rPr>
          <w:b/>
          <w:bCs/>
        </w:rPr>
        <w:t xml:space="preserve">Adli kontrol yeterli güvence sağlar.</w:t>
      </w:r>
      <w:r>
        <w:t xml:space="preserve"> CMK 109/3'teki yurt dışına çıkamamak (a), hâkimin belirleyeceği günlerde imza vermek (b) ve gerekirse konutunu terk etmemek (j) yükümlülüklerini kabul ediyorum. Bağımlılığım bulunduğundan tedavi ve muayene tedbirine (e) tabi olmak da benim için cezaevinden daha yararlı ve toplum için daha güvenli bir çözümdür. Konutu terk etmeme yükümlülüğü elektronik izleme ile de denetlenebilir.</w:t>
      </w:r>
    </w:p>
    <w:p>
      <w:pPr>
        <w:jc w:val="both"/>
        <w:spacing w:after="120" w:line="276" w:lineRule="auto"/>
      </w:pPr>
      <w:r>
        <w:t xml:space="preserve">10. </w:t>
      </w:r>
      <w:r>
        <w:rPr>
          <w:b/>
          <w:bCs/>
        </w:rPr>
        <w:t xml:space="preserve">Değişen kişisel durum.</w:t>
      </w:r>
      <w:r>
        <w:t xml:space="preserve"> [Son incelemeden sonra ortaya çıkan sağlık sorunu ve raporu, eşin doğum yapması, ebeveynin ağır hastalığı, çocuğun okul durumu; tarih ve belgesiyle.]</w:t>
      </w:r>
    </w:p>
    <w:p>
      <w:pPr>
        <w:jc w:val="both"/>
        <w:spacing w:after="120" w:line="276" w:lineRule="auto"/>
      </w:pPr>
      <w:r>
        <w:rPr>
          <w:b/>
          <w:bCs/>
        </w:rPr>
        <w:t xml:space="preserve">[SEÇENEK — dosyanıza uyuyorsa kullanın: aynı dosyadaki diğer şüpheliler tahliye edildi]</w:t>
      </w:r>
      <w:r>
        <w:t xml:space="preserve"> Aynı iddianamede yer alan ve dosyadaki konumu benimkinden farksız olan [sayı] şüpheli [gg.aa.yyyy] tarihinde tahliye edilmiştir. Kararda benim için neden farklı bir sonuca ulaşıldığı açıklanmamıştır. Eşit durumdaki kişiler hakkında farklı tedbir uygulanması, gerekçesi gösterilmedikçe hakkaniyete aykırıdır.</w:t>
      </w:r>
    </w:p>
    <w:p>
      <w:pPr>
        <w:jc w:val="both"/>
        <w:spacing w:after="120" w:line="276" w:lineRule="auto"/>
      </w:pPr>
      <w:r>
        <w:rPr>
          <w:b/>
          <w:bCs/>
        </w:rPr>
        <w:t xml:space="preserve">[SEÇENEK — dosyanıza uyuyorsa kullanın: rapor maddenin uyuşturucu olmadığını veya çok düşük saflıkta olduğunu gösteriyor]</w:t>
      </w:r>
      <w:r>
        <w:t xml:space="preserve"> Laboratuvar raporu, ele geçen maddenin [uyuşturucu veya uyarıcı madde içermediğini / etken madde oranının çok düşük olduğunu] ortaya koymuştur. Suçun konusu bakımından dahi şüphe oluşmuşken tutukluluğun sürdürülmesi için hiçbir hukuki zemin kalmamıştır.</w:t>
      </w:r>
    </w:p>
    <w:p>
      <w:pPr>
        <w:jc w:val="both"/>
        <w:spacing w:after="120" w:line="276" w:lineRule="auto"/>
      </w:pPr>
      <w:r>
        <w:rPr>
          <w:b/>
          <w:bCs/>
        </w:rPr>
        <w:t xml:space="preserve">[SEÇENEK — dosyanıza uyuyorsa kullanın: gizli tanık veya alıcı duruşmada farklı anlattı]</w:t>
      </w:r>
      <w:r>
        <w:t xml:space="preserve"> Soruşturmada aleyhime beyanda bulunan [tanığın sıfatı], [gg.aa.yyyy] tarihli duruşmada [beni tanımadığını / madde almadığını / ilk beyanının kollukta yönlendirmeyle alındığını] söylemiştir. Kimliği gizli tanığın beyanı tek başına hükme esas alınamaz (5726 sayılı Kanun m.9/8); duruşmada çelişen bir beyan ise tutukluluğun devamına hiç dayanak olamaz.</w:t>
      </w:r>
    </w:p>
    <w:p>
      <w:pPr>
        <w:jc w:val="both"/>
        <w:spacing w:after="120" w:line="276" w:lineRule="auto"/>
      </w:pPr>
      <w:r>
        <w:rPr>
          <w:b/>
          <w:bCs/>
        </w:rPr>
        <w:t xml:space="preserve">[SEÇENEK — dosyanıza uyuyorsa kullanın: etkin pişmanlık bilgisi sonuç verdi]</w:t>
      </w:r>
      <w:r>
        <w:t xml:space="preserve"> Maddeyi temin ettiğim kişiyle ilgili verdiğim bilgi üzerine [kişi yakalanmış / madde ele geçirilmiştir]; bu durum [gg.aa.yyyy] tarihli tutanakla sabittir. TCK 192/3 uyarınca cezamda dörtte birden yarıya kadar indirim yapılacağından beklenen ceza ve infaz süresi belirgin biçimde kısalmıştır.</w:t>
      </w:r>
    </w:p>
    <w:p>
      <w:pPr>
        <w:jc w:val="both"/>
        <w:spacing w:after="120" w:line="276" w:lineRule="auto"/>
      </w:pPr>
      <w:r>
        <w:rPr>
          <w:b/>
          <w:bCs/>
        </w:rPr>
        <w:t xml:space="preserve">[SEÇENEK — dosyanıza uyuyorsa kullanın: tutukluluk uzun sürdü ve duruşma ileri bir tarihe bırakıldı]</w:t>
      </w:r>
      <w:r>
        <w:t xml:space="preserve"> Bir sonraki duruşma [gg.aa.yyyy] tarihine, yani [… ay] sonrasına bırakılmıştır. Ekspertiz ve analiz raporları dosyada olduğundan bu bekleme, benim tutukluluğuma bağlı bir delil toplama ihtiyacından değil, iş yükünden kaynaklanmaktadır. Yargılamanın gecikmesinin yükü tutuklu sanığa yüklenemez.</w:t>
      </w:r>
    </w:p>
    <w:p>
      <w:pPr>
        <w:jc w:val="both"/>
        <w:spacing w:after="120" w:line="276" w:lineRule="auto"/>
      </w:pPr>
      <w:r>
        <w:rPr>
          <w:b/>
          <w:bCs/>
        </w:rPr>
        <w:t xml:space="preserve">[SEÇENEK — dosyanıza uyuyorsa kullanın: iddianame veya mahkeme eylemi kullanmak için bulundurma saydı]</w:t>
      </w:r>
      <w:r>
        <w:t xml:space="preserve"> Cumhuriyet savcılığı [gg.aa.yyyy] tarihli iddianamede eylemimi TCK 191/1 kapsamında değerlendirmiştir [ya da: Mahkemeniz ara kararla suç vasfının değişebileceğini bildirmiştir]. Bu suç CMK 100/3 kataloğunda yer almaz ve ağır ceza mahkemesinin görevine giren suçlardan değildir; bu işlerde tutukluluk, soruşturma ve kovuşturma birlikte en çok bir yıldır, zorunlu hâlde altı ay uzatılabilir (CMK 102/1). Ağır ceza beklentisiyle verilen tutuklama kararının dayanağı böylece tamamen değişmiştir; kullanma suçunda hükmün açıklanmasının geri bırakılması da öngörüldüğünden tutukluluğun sürmesi ölçülülükle bağdaşmaz.</w:t>
      </w:r>
    </w:p>
    <w:p>
      <w:pPr>
        <w:jc w:val="both"/>
        <w:spacing w:after="120" w:line="276" w:lineRule="auto"/>
      </w:pPr>
      <w:r>
        <w:rPr>
          <w:b/>
          <w:bCs/>
        </w:rPr>
        <w:t xml:space="preserve">HUKUKİ NEDENLER:</w:t>
      </w:r>
      <w:r>
        <w:t xml:space="preserve"> Anayasa m. 19; AİHS m. 5; CMK m. 100, 101, 102, 104, 105, 108, 109; TCK m. 63, 188, 191, 192; İnfaz Kanunu m. 108; [varsa emsal karar künyesi].</w:t>
      </w:r>
    </w:p>
    <w:p>
      <w:pPr>
        <w:jc w:val="both"/>
        <w:spacing w:after="120" w:line="276" w:lineRule="auto"/>
      </w:pPr>
      <w:r>
        <w:rPr>
          <w:b/>
          <w:bCs/>
        </w:rPr>
        <w:t xml:space="preserve">DELİLLER:</w:t>
      </w:r>
      <w:r>
        <w:t xml:space="preserve"> [Ekspertiz raporu], [HTS analiz raporu ve telefon inceleme tutanağı], iddianame, duruşma tutanakları, [test sonucu ve tedavi kaydı], ikametgâh belgesi, işveren yazısı, [sağlık raporu],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Tutukluluk hâlimin sona erdirilerek SALIVERİLMEME,</w:t>
      </w:r>
    </w:p>
    <w:p>
      <w:pPr>
        <w:jc w:val="both"/>
        <w:spacing w:after="120" w:line="276" w:lineRule="auto"/>
      </w:pPr>
      <w:r>
        <w:t xml:space="preserve">2. </w:t>
      </w:r>
      <w:r>
        <w:t xml:space="preserve">Mahkemeniz aksi kanaatteyse, CMK 109/3 uyarınca yurt dışına çıkış yasağı, [haftada … gün] imza, [tedavi ve muayene] ve gerekirse konutu terk etmeme yükümlülükleriyle ADLİ KONTROL altına alınarak serbest bırakılmama,</w:t>
      </w:r>
    </w:p>
    <w:p>
      <w:pPr>
        <w:jc w:val="both"/>
        <w:spacing w:after="120" w:line="276" w:lineRule="auto"/>
      </w:pPr>
      <w:r>
        <w:t xml:space="preserve">3. </w:t>
      </w:r>
      <w:r>
        <w:t xml:space="preserve">İstemimin CMK 105/1 uyarınca üç gün içinde karara bağlanmasına; reddi hâlinde kararda yukarıdaki yeni olguların tek tek ve CMK 101/2'ye uygun biçimde değerlendirilmesine ve kararın bir örneğinin tarafıma verilmesine,</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Talepte Bulunan [Şüpheli / Sanık]</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[Ekspertiz raporu ve HTS analiz raporu örnekleri]</w:t>
      </w:r>
    </w:p>
    <w:p>
      <w:pPr>
        <w:jc w:val="both"/>
        <w:spacing w:after="120" w:line="276" w:lineRule="auto"/>
      </w:pPr>
      <w:r>
        <w:t xml:space="preserve">2. </w:t>
      </w:r>
      <w:r>
        <w:t xml:space="preserve">[Test sonucu, tedavi kaydı, sağlık raporu]</w:t>
      </w:r>
    </w:p>
    <w:p>
      <w:pPr>
        <w:jc w:val="both"/>
        <w:spacing w:after="120" w:line="276" w:lineRule="auto"/>
      </w:pPr>
      <w:r>
        <w:t xml:space="preserve">3. </w:t>
      </w:r>
      <w:r>
        <w:t xml:space="preserve">İkametgâh belgesi</w:t>
      </w:r>
    </w:p>
    <w:p>
      <w:pPr>
        <w:jc w:val="both"/>
        <w:spacing w:after="120" w:line="276" w:lineRule="auto"/>
      </w:pPr>
      <w:r>
        <w:t xml:space="preserve">4. </w:t>
      </w:r>
      <w:r>
        <w:t xml:space="preserve">[İşveren yazısı ve SGK dökümü]</w:t>
      </w:r>
    </w:p>
    <w:p>
      <w:pPr>
        <w:jc w:val="both"/>
        <w:spacing w:after="120" w:line="276" w:lineRule="auto"/>
      </w:pPr>
      <w:r>
        <w:t xml:space="preserve">5. </w:t>
      </w:r>
      <w:r>
        <w:t xml:space="preserve">[Diğer şüphelilere ilişkin tahliye kararı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