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w:t>
      </w:r>
    </w:p>
    <w:p>
      <w:pPr>
        <w:jc w:val="center"/>
        <w:spacing w:after="120" w:line="276" w:lineRule="auto"/>
      </w:pPr>
      <w:r>
        <w:t xml:space="preserve">[İl] Asliye Ceza Mahkemesi Hâkimine gönderilmek üzere</w:t>
      </w:r>
    </w:p>
    <w:p>
      <w:pPr>
        <w:jc w:val="center"/>
        <w:spacing w:after="120" w:line="276" w:lineRule="auto"/>
      </w:pPr>
      <w:r>
        <w:rPr>
          <w:i/>
          <w:iCs/>
        </w:rPr>
        <w:t xml:space="preserve">[İddianame kabul edildiyse ve kararı asliye ceza mahkemesi verdiyse başlık: İL, NO. ASLİYE CEZA MAHKEMESİNE, yargı çevresindeki ağır ceza mahkemesine gönderilmek üzere; kararı ağır ceza mahkemesi verdiyse (ör. gece işlenen nitelikli hırsızlık): İL, NO. AĞIR CEZA MAHKEMESİ BAŞKANLIĞINA, numara olarak izleyen daireye, tek daire varsa en yakın ağır ceza mahkemesine gönderilmek üzere]</w:t>
      </w:r>
    </w:p>
    <w:p>
      <w:pPr>
        <w:jc w:val="both"/>
        <w:spacing w:after="120" w:line="276" w:lineRule="auto"/>
      </w:pPr>
      <w:r>
        <w:rPr>
          <w:b/>
          <w:bCs/>
        </w:rPr>
        <w:t xml:space="preserve">SORUŞTURMA NO:</w:t>
      </w:r>
      <w:r>
        <w:t xml:space="preserve"> [yıl/sayı]</w:t>
      </w:r>
    </w:p>
    <w:p>
      <w:pPr>
        <w:jc w:val="both"/>
        <w:spacing w:after="120" w:line="276" w:lineRule="auto"/>
      </w:pPr>
      <w:r>
        <w:rPr>
          <w:b/>
          <w:bCs/>
        </w:rPr>
        <w:t xml:space="preserve">D. İŞ NO:</w:t>
      </w:r>
      <w:r>
        <w:t xml:space="preserve"> [yıl/sayı]</w:t>
      </w:r>
    </w:p>
    <w:p>
      <w:pPr>
        <w:jc w:val="both"/>
        <w:spacing w:after="120" w:line="276" w:lineRule="auto"/>
      </w:pPr>
      <w:r>
        <w:rPr>
          <w:b/>
          <w:bCs/>
        </w:rPr>
        <w:t xml:space="preserve">İTİRAZ EDEN ŞÜPHELİ:</w:t>
      </w:r>
      <w:r>
        <w:t xml:space="preserve"> [Ad Soyad], T.C. Kimlik No: [………]</w:t>
      </w:r>
    </w:p>
    <w:p>
      <w:pPr>
        <w:jc w:val="both"/>
        <w:spacing w:after="120" w:line="276" w:lineRule="auto"/>
      </w:pPr>
      <w:r>
        <w:t xml:space="preserve">[……] Ceza İnfaz Kurumunda tutuklu</w:t>
      </w:r>
    </w:p>
    <w:p>
      <w:pPr>
        <w:jc w:val="both"/>
        <w:spacing w:after="120" w:line="276" w:lineRule="auto"/>
      </w:pPr>
      <w:r>
        <w:rPr>
          <w:b/>
          <w:bCs/>
        </w:rPr>
        <w:t xml:space="preserve">MÜDAFİİ:</w:t>
      </w:r>
      <w:r>
        <w:t xml:space="preserve"> [varsa: Av. Ad Soyad]</w:t>
      </w:r>
    </w:p>
    <w:p>
      <w:pPr>
        <w:jc w:val="both"/>
        <w:spacing w:after="120" w:line="276" w:lineRule="auto"/>
      </w:pPr>
      <w:r>
        <w:rPr>
          <w:b/>
          <w:bCs/>
        </w:rPr>
        <w:t xml:space="preserve">İSNAT:</w:t>
      </w:r>
      <w:r>
        <w:t xml:space="preserve"> Hırsızlık, TCK [141/1 / 142/1-… / 142/2-…] [kararda varsa: TCK 143 gece vakti artırımı]</w:t>
      </w:r>
    </w:p>
    <w:p>
      <w:pPr>
        <w:jc w:val="both"/>
        <w:spacing w:after="120" w:line="276" w:lineRule="auto"/>
      </w:pPr>
      <w:r>
        <w:rPr>
          <w:b/>
          <w:bCs/>
        </w:rPr>
        <w:t xml:space="preserve">KARAR VE TEFHİM TARİHİ:</w:t>
      </w:r>
      <w:r>
        <w:t xml:space="preserve"> [gg.aa.yyyy] tarihli tutuklama kararı; sorguda aynı gün tefhim edildi.</w:t>
      </w:r>
    </w:p>
    <w:p>
      <w:pPr>
        <w:jc w:val="both"/>
        <w:spacing w:after="120" w:line="276" w:lineRule="auto"/>
      </w:pPr>
      <w:r>
        <w:rPr>
          <w:b/>
          <w:bCs/>
        </w:rPr>
        <w:t xml:space="preserve">KONU:</w:t>
      </w:r>
      <w:r>
        <w:t xml:space="preserve"> Fiilin bana ait olduğu ve iddia edilen nitelikli hâl somut delille gösterilmediği, malın değeri ve akıbeti karşısında tutuklama ölçüsüz kaldığı için kararın kaldırılması, olmazsa adli kontrole hükmedilmesi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İtiraz süresindedir.</w:t>
      </w:r>
      <w:r>
        <w:t xml:space="preserve"> [gg.aa.yyyy] tarihinde yakalandım; [gg.aa.yyyy] tarihinde Hâkimliğinizin kararıyla tutuklandım ve karar o gün yüzüme okundu. CMK 268/1'deki iki haftalık süre dolmamıştır.</w:t>
      </w:r>
    </w:p>
    <w:p>
      <w:pPr>
        <w:jc w:val="both"/>
        <w:spacing w:after="120" w:line="276" w:lineRule="auto"/>
      </w:pPr>
      <w:r>
        <w:t xml:space="preserve">2. </w:t>
      </w:r>
      <w:r>
        <w:rPr>
          <w:b/>
          <w:bCs/>
        </w:rPr>
        <w:t xml:space="preserve">Hırsızlığın unsurlarını bana bağlayan somut delil yoktur.</w:t>
      </w:r>
      <w:r>
        <w:t xml:space="preserve"> TCK 141/1, başkasına ait taşınır bir malın, zilyedinin rızası olmadan, yarar sağlama maksadıyla bulunduğu yerden alınmasını arar. Dosyada malın alındığı tartışmasızdır; tartışmalı olan, alan kişinin ben olup olmadığımdır. Çalınan [eşya] üzerimde, evimde veya aracımda ele geçmemiştir. Olay yerinde parmak izi veya DNA incelemesi [yapılmamıştır / bana ait iz bulunamamıştır]. Olay saatinde [başka bir yerde olduğumu gösteren HTS kaydı, fatura, işyeri giriş kaydı, tanık] mevcuttur.</w:t>
      </w:r>
    </w:p>
    <w:p>
      <w:pPr>
        <w:jc w:val="both"/>
        <w:spacing w:after="120" w:line="276" w:lineRule="auto"/>
      </w:pPr>
      <w:r>
        <w:t xml:space="preserve">3. </w:t>
      </w:r>
      <w:r>
        <w:rPr>
          <w:b/>
          <w:bCs/>
        </w:rPr>
        <w:t xml:space="preserve">Kamera kaydı ve teşhis kimliği ortaya koymamaktadır.</w:t>
      </w:r>
      <w:r>
        <w:t xml:space="preserve"> Kararda dayanılan [işyeri / sokak] kamerasındaki görüntüde kişinin yüzü [seçilememektedir / şapka ve maske nedeniyle görünmemektedir]; görüntüden çıkarılan tek bağ [kıyafet rengi / boy / yürüyüş] benzerliğidir. Görüntü üzerinde yüz karşılaştırması yapan bir bilirkişi incelemesi yoktur. Mağdur ya da tanık beni [tek bir fotoğraf gösterilerek / kolluk tarafından "bu mu" diye sorularak] teşhis etmiştir; benzer görünümdeki başka kişiler arasında usulüne uygun bir teşhis işlemi yapılmamıştır. Telkine açık bu teşhis, kuvvetli şüpheye dayanak olamaz.</w:t>
      </w:r>
    </w:p>
    <w:p>
      <w:pPr>
        <w:jc w:val="both"/>
        <w:spacing w:after="120" w:line="276" w:lineRule="auto"/>
      </w:pPr>
      <w:r>
        <w:t xml:space="preserve">4. </w:t>
      </w:r>
      <w:r>
        <w:rPr>
          <w:b/>
          <w:bCs/>
        </w:rPr>
        <w:t xml:space="preserve">İddia edilen nitelikli hâl ispatlanmamıştır.</w:t>
      </w:r>
      <w:r>
        <w:t xml:space="preserve"> Tutuklama kararı TCK 142'deki nitelikli hâle dayandırılmıştır. Oysa [eşyanın bina veya eklentisi içinde muhafaza altında olduğu (142/2-h) / kilidin aletle açıldığı (142/2-d) / eşyanın üstten çekilip alındığı (142/2-b)] hususunda olay yeri inceleme raporu, zorlama izi tespiti veya tanık anlatımı bulunmamaktadır. [Kapı açık bırakılmıştı; kilitte zorlama izi yoktur.] Gece vakti artırımı için TCK 6/1-e'deki tanım, yani güneşin batmasından bir saat sonrası ile doğmasından bir saat öncesi arası esas alınır; olay saati [tespit edilmemiştir / bu aralığın dışındadır]. Nitelikli hâl düştüğünde geriye kalan suç, temel hırsızlıktır.</w:t>
      </w:r>
    </w:p>
    <w:p>
      <w:pPr>
        <w:jc w:val="both"/>
        <w:spacing w:after="120" w:line="276" w:lineRule="auto"/>
      </w:pPr>
      <w:r>
        <w:t xml:space="preserve">5. </w:t>
      </w:r>
      <w:r>
        <w:rPr>
          <w:b/>
          <w:bCs/>
        </w:rPr>
        <w:t xml:space="preserve">Kaçacağımı gösteren bir olgu bulunmamaktadır.</w:t>
      </w:r>
      <w:r>
        <w:t xml:space="preserve"> [Doğduğumdan beri / … yıldır] [il, ilçe] adresinde oturuyorum. [Eşim ve çocuklarım / annem ve kardeşlerim] bu adreste yaşamaktadır. [İşyeri] yerinde [görev] olarak çalışıyorum. Yakalandığımda kaçma girişimim olmamış, [kolluğun çağrısı üzerine karakola kendim gittim]. Pasaportum [yoktur].</w:t>
      </w:r>
    </w:p>
    <w:p>
      <w:pPr>
        <w:jc w:val="both"/>
        <w:spacing w:after="120" w:line="276" w:lineRule="auto"/>
      </w:pPr>
      <w:r>
        <w:t xml:space="preserve">6. </w:t>
      </w:r>
      <w:r>
        <w:rPr>
          <w:b/>
          <w:bCs/>
        </w:rPr>
        <w:t xml:space="preserve">Karartılabilecek delil kalmamıştır.</w:t>
      </w:r>
      <w:r>
        <w:t xml:space="preserve"> Kamera kayıtları kolluk tarafından alınmış, [mağdur ve tanık] ifade vermiş, [çalınan eşya ele geçirilerek sahibine teslim edilmiştir]. Mağdurla aramda tanışıklık yoktur; onunla temas kurmam için bir neden ve imkân bulunmamaktadır.</w:t>
      </w:r>
    </w:p>
    <w:p>
      <w:pPr>
        <w:jc w:val="both"/>
        <w:spacing w:after="120" w:line="276" w:lineRule="auto"/>
      </w:pPr>
      <w:r>
        <w:t xml:space="preserve">7. </w:t>
      </w:r>
      <w:r>
        <w:rPr>
          <w:b/>
          <w:bCs/>
        </w:rPr>
        <w:t xml:space="preserve">Katalogda olmak somut gerekçe ihtiyacını ortadan kaldırmaz.</w:t>
      </w:r>
      <w:r>
        <w:t xml:space="preserve"> TCK 141 ve 142, CMK 100/3-a-8'de sayılmıştır. Bu düzenleme tutuklama nedenini yalnız "var sayılabilir" kılar ve somut delillere dayanan kuvvetli şüphe şartına bağlıdır. Yukarıda açıklandığı üzere fiilin bana ait olduğu dahi bu düzeyde gösterilememiştir.</w:t>
      </w:r>
    </w:p>
    <w:p>
      <w:pPr>
        <w:jc w:val="both"/>
        <w:spacing w:after="120" w:line="276" w:lineRule="auto"/>
      </w:pPr>
      <w:r>
        <w:t xml:space="preserve">8. </w:t>
      </w:r>
      <w:r>
        <w:rPr>
          <w:b/>
          <w:bCs/>
        </w:rPr>
        <w:t xml:space="preserve">Adli sicil kaydım tek başına tutuklama nedeni değildir.</w:t>
      </w:r>
      <w:r>
        <w:t xml:space="preserve"> Kararda geçmiş mahkûmiyetlerime ve "suç işleme eğilimi" ifadesine yer verilmiştir. CMK 100/2, tutuklama nedeni olarak kaçma şüphesini ve delil karartma şüphesini sayar; yeniden suç işleme ihtimali kanunda tutuklama nedeni olarak düzenlenmemiştir. Tekerrür hükümleri yalnız mahkûmiyet hâlinde infaz rejimini etkiler (TCK 58/6); henüz hakkında hüküm kurulmamış bir şüpheli için tutuklama gerekçesi olamaz.</w:t>
      </w:r>
    </w:p>
    <w:p>
      <w:pPr>
        <w:jc w:val="both"/>
        <w:spacing w:after="120" w:line="276" w:lineRule="auto"/>
      </w:pPr>
      <w:r>
        <w:t xml:space="preserve">9. </w:t>
      </w:r>
      <w:r>
        <w:rPr>
          <w:b/>
          <w:bCs/>
        </w:rPr>
        <w:t xml:space="preserve">Tutuklama ölçülü değildir.</w:t>
      </w:r>
      <w:r>
        <w:t xml:space="preserve"> Çalındığı iddia edilen malın değeri [… TL]'dir. [Mal sahibine iade edilmiştir / zararı karşılamaya hazırım.] Kovuşturma başlamadan önce zararın tamamen giderilmesi hâlinde cezanın üçte ikisine kadarı indirilir (TCK 168/1); malın değerinin azlığı ise ayrı bir indirim veya ceza vermekten vazgeçme nedenidir (TCK 145). Temel hırsızlık (TCK 141) uzlaştırma kapsamındadır (CMK 253/1-b). Bu indirimlerle verilebilecek ceza, hükmün açıklanmasının geri bırakılması veya erteleme sınırının altında kalabilir. Böyle bir dosyada tutukluluk, beklenen yaptırımı aşan bir tedbire dönüşür (CMK 100/1, ikinci cümle).</w:t>
      </w:r>
    </w:p>
    <w:p>
      <w:pPr>
        <w:jc w:val="both"/>
        <w:spacing w:after="120" w:line="276" w:lineRule="auto"/>
      </w:pPr>
      <w:r>
        <w:t xml:space="preserve">10. </w:t>
      </w:r>
      <w:r>
        <w:rPr>
          <w:b/>
          <w:bCs/>
        </w:rPr>
        <w:t xml:space="preserve">Adli kontrol yeterlidir.</w:t>
      </w:r>
      <w:r>
        <w:t xml:space="preserve"> CMK 109/3 uyarınca yurt dışına çıkamamak (a), belirlenen günlerde kolluğa imza vermek (b), [olay yeri olan işyerine / mağdurun oturduğu sokağa] gitmemek (l) ve gerekirse konutunu terk etmemek (j) yükümlülükleri, kararda belirtilen bütün kaygıları karşılar.</w:t>
      </w:r>
    </w:p>
    <w:p>
      <w:pPr>
        <w:jc w:val="both"/>
        <w:spacing w:after="120" w:line="276" w:lineRule="auto"/>
      </w:pPr>
      <w:r>
        <w:t xml:space="preserve">11. </w:t>
      </w:r>
      <w:r>
        <w:rPr>
          <w:b/>
          <w:bCs/>
        </w:rPr>
        <w:t xml:space="preserve">Kararın gerekçesi kalıp ifadelerden ibarettir.</w:t>
      </w:r>
      <w:r>
        <w:t xml:space="preserve"> "Suçun niteliği, mevcut delil durumu, şüphelinin sabıkalı olması" ifadeleri, CMK 101/2'nin aradığı somut olguları içermez. Kararda hangi delilin beni olayla bağladığı, nitelikli hâlin neye dayandığı ve adli kontrolün neden yetersiz kalacağı açıklanmamıştır.</w:t>
      </w:r>
    </w:p>
    <w:p>
      <w:pPr>
        <w:jc w:val="both"/>
        <w:spacing w:after="120" w:line="276" w:lineRule="auto"/>
      </w:pPr>
      <w:r>
        <w:t xml:space="preserve">12. </w:t>
      </w:r>
      <w:r>
        <w:rPr>
          <w:b/>
          <w:bCs/>
        </w:rPr>
        <w:t xml:space="preserve">Kişisel durumum.</w:t>
      </w:r>
      <w:r>
        <w:t xml:space="preserve"> [Bakmakla yükümlü olduğunuz kişiler, işiniz, sağlık durumunuz, yaşınız; belgesiyle yazın.]</w:t>
      </w:r>
    </w:p>
    <w:p>
      <w:pPr>
        <w:jc w:val="both"/>
        <w:spacing w:after="120" w:line="276" w:lineRule="auto"/>
      </w:pPr>
      <w:r>
        <w:rPr>
          <w:b/>
          <w:bCs/>
        </w:rPr>
        <w:t xml:space="preserve">[SEÇENEK — dosyanıza uyuyorsa kullanın: alacak tahsili veya ortak mal]</w:t>
      </w:r>
      <w:r>
        <w:t xml:space="preserve"> Aldığım [eşya], [mağdurun bana olan … TL borcu / ortak olduğumuz işyerinin malı] ile ilgilidir; bu ilişki [senet, mesaj, banka dökümü] ile sabittir. Hırsızlığın bir hukuki ilişkiye dayanan alacağı tahsil amacıyla ya da paydaş veya elbirliği ile malik olunan mal üzerinde işlenmesi TCK 144'te düzenlenmiştir; cezası iki aydan bir yıla kadar hapis veya adli para cezasıdır ve kovuşturma şikâyete bağlıdır. Üst sınırı iki yılı geçmeyen bu suçta CMK 100/4 uyarınca tutuklama kararı verilemez.</w:t>
      </w:r>
    </w:p>
    <w:p>
      <w:pPr>
        <w:jc w:val="both"/>
        <w:spacing w:after="120" w:line="276" w:lineRule="auto"/>
      </w:pPr>
      <w:r>
        <w:rPr>
          <w:b/>
          <w:bCs/>
        </w:rPr>
        <w:t xml:space="preserve">[SEÇENEK — dosyanıza uyuyorsa kullanın: mal iade edildi veya zarar giderildi]</w:t>
      </w:r>
      <w:r>
        <w:t xml:space="preserve"> Çalındığı iddia edilen [eşya], [gg.aa.yyyy] tarihinde [bizzat tarafımdan / ailem aracılığıyla] mağdura iade edilmiştir ve mağdurun [teslim tutanağı / beyanı] dosyadadır. Bu, TCK 168/1 kapsamında kovuşturma başlamadan gösterilmiş etkin pişmanlıktır. Zararını tamamen geri almış bir mağdur karşısında tutukluluğun koruyacağı bir menfaat kalmamıştır.</w:t>
      </w:r>
    </w:p>
    <w:p>
      <w:pPr>
        <w:jc w:val="both"/>
        <w:spacing w:after="120" w:line="276" w:lineRule="auto"/>
      </w:pPr>
      <w:r>
        <w:rPr>
          <w:b/>
          <w:bCs/>
        </w:rPr>
        <w:t xml:space="preserve">[SEÇENEK — dosyanıza uyuyorsa kullanın: bağımlılık ve tedavi]</w:t>
      </w:r>
      <w:r>
        <w:t xml:space="preserve"> Fiil [madde / alkol / kumar] bağımlılığımın en ağır döneminde gerçekleşmiştir. [Hastane adı] kayıtlarında tedavi geçmişim yer almaktadır. Tutukevi bu soruna çözüm sunmaz; CMK 109/3-e uyarınca tedavi veya muayene tedbirine tabi tutulmam, hem yeni bir olayın önüne geçer hem de denetlenebilir bir güvence oluşturur.</w:t>
      </w:r>
    </w:p>
    <w:p>
      <w:pPr>
        <w:jc w:val="both"/>
        <w:spacing w:after="120" w:line="276" w:lineRule="auto"/>
      </w:pPr>
      <w:r>
        <w:rPr>
          <w:b/>
          <w:bCs/>
        </w:rPr>
        <w:t xml:space="preserve">[SEÇENEK — dosyanıza uyuyorsa kullanın: malın değeri çok düşük]</w:t>
      </w:r>
      <w:r>
        <w:t xml:space="preserve"> Alındığı iddia edilen [eşya] piyasa değeri [… TL] olan bir maldır. TCK 145, malın değerinin azlığı nedeniyle cezada indirim yapılabileceğini, suçun işleniş şekli de gözetilerek ceza vermekten vazgeçilebileceğini düzenler. Ceza verilmesi dahi tartışmalı bir fiil için kişinin tutukevinde tutulması ölçülü değildir.</w:t>
      </w:r>
    </w:p>
    <w:p>
      <w:pPr>
        <w:jc w:val="both"/>
        <w:spacing w:after="120" w:line="276" w:lineRule="auto"/>
      </w:pPr>
      <w:r>
        <w:rPr>
          <w:b/>
          <w:bCs/>
        </w:rPr>
        <w:t xml:space="preserve">[SEÇENEK — dosyanıza uyuyorsa kullanın: geçici kullanma veya zorunlu ihtiyaç]</w:t>
      </w:r>
      <w:r>
        <w:t xml:space="preserve"> [Aracı / eşyayı] geçici olarak kullanıp geri vermek amacıyla aldım ve [gg.aa.yyyy] tarihinde sahibine teslim ettim; bu durumda TCK 146/1 uyarınca kovuşturma şikâyete bağlıdır ve ceza yarı oranına kadar indirilir. [Ya da: Fiil, ağır ve acil bir ihtiyacı karşılamak için işlenmiştir; TCK 147 indirim ve ceza vermekten vazgeçme imkânı tanır.]</w:t>
      </w:r>
    </w:p>
    <w:p>
      <w:pPr>
        <w:jc w:val="both"/>
        <w:spacing w:after="120" w:line="276" w:lineRule="auto"/>
      </w:pPr>
      <w:r>
        <w:rPr>
          <w:b/>
          <w:bCs/>
        </w:rPr>
        <w:t xml:space="preserve">HUKUKİ NEDENLER:</w:t>
      </w:r>
      <w:r>
        <w:t xml:space="preserve"> Anayasa m. 19; AİHS m. 5; CMK m. 100, 101, 109, 253, 262, 263, 268, 270, 271; TCK m. 6, 58, 141, 142, 143, 144, 145, 146, 147, 168; [varsa emsal karar künyesi].</w:t>
      </w:r>
    </w:p>
    <w:p>
      <w:pPr>
        <w:jc w:val="both"/>
        <w:spacing w:after="120" w:line="276" w:lineRule="auto"/>
      </w:pPr>
      <w:r>
        <w:rPr>
          <w:b/>
          <w:bCs/>
        </w:rPr>
        <w:t xml:space="preserve">DELİLLER:</w:t>
      </w:r>
      <w:r>
        <w:t xml:space="preserve"> Soruşturma dosyası, kamera kayıtları ve inceleme tutanağı, teşhis tutanağı, olay yeri inceleme raporu, [HTS kaydı, fatura, işyeri giriş kaydı], [iade tutanağı veya mağdur beyanı], ikametgâh belgesi, SGK dökümü, [tedavi kayıtları], her türlü yasal delil.</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Hâkimliğinizce kararın düzeltilmesine (CMK 268/2), düzeltilmezse itirazımı incelemeye yetkili merci tarafından tutuklama kararının kaldırılarak TAHLİYEME,</w:t>
      </w:r>
    </w:p>
    <w:p>
      <w:pPr>
        <w:jc w:val="both"/>
        <w:spacing w:after="120" w:line="276" w:lineRule="auto"/>
      </w:pPr>
      <w:r>
        <w:t xml:space="preserve">2. </w:t>
      </w:r>
      <w:r>
        <w:t xml:space="preserve">Aksi kanaate varılırsa, terditli olarak CMK 109/3 uyarınca yurt dışı çıkış yasağı, [haftada … gün] imza, [olay yerine gitmeme], [tedavi] ve gerekirse konutu terk etmeme yükümlülükleriyle ADLİ KONTROL altında salıverilmeme,</w:t>
      </w:r>
    </w:p>
    <w:p>
      <w:pPr>
        <w:jc w:val="both"/>
        <w:spacing w:after="120" w:line="276" w:lineRule="auto"/>
      </w:pPr>
      <w:r>
        <w:t xml:space="preserve">3. </w:t>
      </w:r>
      <w:r>
        <w:t xml:space="preserve">İtirazın incelenmesi sırasında gerekli görülmesi hâlinde müdafiimin dinlenmesine (CMK 271/1) ve Cumhuriyet savcısının görüşü alınırsa tarafıma bildirilmesine (CMK 270/2),</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İtiraz Eden Şüpheli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İkametgâh belgesi ve nüfus kayıt örneği</w:t>
      </w:r>
    </w:p>
    <w:p>
      <w:pPr>
        <w:jc w:val="both"/>
        <w:spacing w:after="120" w:line="276" w:lineRule="auto"/>
      </w:pPr>
      <w:r>
        <w:t xml:space="preserve">2. </w:t>
      </w:r>
      <w:r>
        <w:t xml:space="preserve">SGK hizmet dökümü veya işveren yazısı</w:t>
      </w:r>
    </w:p>
    <w:p>
      <w:pPr>
        <w:jc w:val="both"/>
        <w:spacing w:after="120" w:line="276" w:lineRule="auto"/>
      </w:pPr>
      <w:r>
        <w:t xml:space="preserve">3. </w:t>
      </w:r>
      <w:r>
        <w:t xml:space="preserve">[Olay saatinde başka yerde olduğunuzu gösteren belge]</w:t>
      </w:r>
    </w:p>
    <w:p>
      <w:pPr>
        <w:jc w:val="both"/>
        <w:spacing w:after="120" w:line="276" w:lineRule="auto"/>
      </w:pPr>
      <w:r>
        <w:t xml:space="preserve">4. </w:t>
      </w:r>
      <w:r>
        <w:t xml:space="preserve">[İade tutanağı, mağdurun zararının karşılandığını gösteren belge]</w:t>
      </w:r>
    </w:p>
    <w:p>
      <w:pPr>
        <w:jc w:val="both"/>
        <w:spacing w:after="120" w:line="276" w:lineRule="auto"/>
      </w:pPr>
      <w:r>
        <w:t xml:space="preserve">5. </w:t>
      </w:r>
      <w:r>
        <w:t xml:space="preserve">[Tedavi kaydı veya sağlık raporu]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