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[İL] [NO]. ASLİYE CEZA MAHKEMESİNE</w:t>
      </w:r>
    </w:p>
    <w:p>
      <w:pPr>
        <w:jc w:val="center"/>
        <w:spacing w:after="120" w:line="276" w:lineRule="auto"/>
      </w:pPr>
      <w:r>
        <w:t xml:space="preserve">[Soruşturmada: İl Asliye Ceza Mahkemesi Hâkimine / Kovuşturmada: İl Ağır Ceza Mahkemesine] gönderilmek üzere</w:t>
      </w:r>
    </w:p>
    <w:p>
      <w:pPr>
        <w:jc w:val="both"/>
        <w:spacing w:after="120" w:line="276" w:lineRule="auto"/>
      </w:pPr>
      <w:r>
        <w:rPr>
          <w:b/>
          <w:bCs/>
        </w:rPr>
        <w:t xml:space="preserve">DOSYA NO:</w:t>
      </w:r>
      <w:r>
        <w:t xml:space="preserve"> [yıl/sayı D. İş veya yıl/sayı Esas]</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İTİRAZ EDEN ŞÜPHELİ / SANIK:</w:t>
      </w:r>
      <w:r>
        <w:t xml:space="preserve"> [Ad Soyad], T.C. Kimlik No: [………], [baba adı, doğum yeri ve tarihi]</w:t>
      </w:r>
    </w:p>
    <w:p>
      <w:pPr>
        <w:jc w:val="both"/>
        <w:spacing w:after="120" w:line="276" w:lineRule="auto"/>
      </w:pPr>
      <w:r>
        <w:t xml:space="preserve">Hâlen [……]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ŞİKÂYETÇİ / MAĞDUR:</w:t>
      </w:r>
      <w:r>
        <w:t xml:space="preserve"> [Ad Soyad]</w:t>
      </w:r>
    </w:p>
    <w:p>
      <w:pPr>
        <w:jc w:val="both"/>
        <w:spacing w:after="120" w:line="276" w:lineRule="auto"/>
      </w:pPr>
      <w:r>
        <w:rPr>
          <w:b/>
          <w:bCs/>
        </w:rPr>
        <w:t xml:space="preserve">SUÇ:</w:t>
      </w:r>
      <w:r>
        <w:t xml:space="preserve"> [Kasten yaralama (TCK 86/1) / silahla kasten yaralama (TCK 86/1, 86/3-e) / eşe karşı kasten yaralama (TCK 86/3-a) / neticesi sebebiyle ağırlaşmış yaralama (TCK 87/…)]</w:t>
      </w:r>
    </w:p>
    <w:p>
      <w:pPr>
        <w:jc w:val="both"/>
        <w:spacing w:after="120" w:line="276" w:lineRule="auto"/>
      </w:pPr>
      <w:r>
        <w:rPr>
          <w:b/>
          <w:bCs/>
        </w:rPr>
        <w:t xml:space="preserve">İTİRAZ EDİLEN KARAR:</w:t>
      </w:r>
      <w:r>
        <w:t xml:space="preserve"> [gün.ay.yıl] tarihli, [sayı] sayılı tutuklama kararı</w:t>
      </w:r>
    </w:p>
    <w:p>
      <w:pPr>
        <w:jc w:val="both"/>
        <w:spacing w:after="120" w:line="276" w:lineRule="auto"/>
      </w:pPr>
      <w:r>
        <w:rPr>
          <w:b/>
          <w:bCs/>
        </w:rPr>
        <w:t xml:space="preserve">KARARIN ÖĞRENİLDİĞİ TARİH:</w:t>
      </w:r>
      <w:r>
        <w:t xml:space="preserve"> [gün.ay.yıl] (sorguda açıklandı / tebliğ edildi)</w:t>
      </w:r>
    </w:p>
    <w:p>
      <w:pPr>
        <w:jc w:val="both"/>
        <w:spacing w:after="120" w:line="276" w:lineRule="auto"/>
      </w:pPr>
      <w:r>
        <w:rPr>
          <w:b/>
          <w:bCs/>
        </w:rPr>
        <w:t xml:space="preserve">KONU:</w:t>
      </w:r>
      <w:r>
        <w:t xml:space="preserve"> Kasten yaralama iddiasıyla verilen tutuklama kararına itirazımdır. Kararın kaldırılarak tahliyeme, bu mümkün görülmezse adli kontrol ve gerekirse mağdura yaklaşmama yükümlülüğüyle salıverilmeme karar verilmesini istiyorum.</w:t>
      </w:r>
    </w:p>
    <w:p>
      <w:pPr>
        <w:jc w:val="both"/>
        <w:spacing w:after="120" w:line="276" w:lineRule="auto"/>
      </w:pPr>
      <w:r>
        <w:rPr>
          <w:b/>
          <w:bCs/>
        </w:rPr>
        <w:t xml:space="preserve">AÇIKLAMALAR:</w:t>
      </w:r>
    </w:p>
    <w:p>
      <w:pPr>
        <w:jc w:val="both"/>
        <w:spacing w:after="120" w:line="276" w:lineRule="auto"/>
      </w:pPr>
      <w:r>
        <w:t xml:space="preserve">1. </w:t>
      </w:r>
      <w:r>
        <w:rPr>
          <w:b/>
          <w:bCs/>
        </w:rPr>
        <w:t xml:space="preserve">Tarih ve süre:</w:t>
      </w:r>
      <w:r>
        <w:t xml:space="preserve"> [gün.ay.yıl] günü [olay yeri] adresinde [şikâyetçi] ile aramda [tartışmanın konusu] üzerine bir arbede yaşandı. [gün.ay.yıl] tarihinde gözaltına alındım ve [gün.ay.yıl] tarihinde tutuklandım. Karar bana [gün.ay.yıl] günü bildirildi. Bu dilekçe, CMK 268/1'deki iki haftalık süre dolmadan verilmektedir.</w:t>
      </w:r>
    </w:p>
    <w:p>
      <w:pPr>
        <w:jc w:val="both"/>
        <w:spacing w:after="120" w:line="276" w:lineRule="auto"/>
      </w:pPr>
      <w:r>
        <w:t xml:space="preserve">2. </w:t>
      </w:r>
      <w:r>
        <w:rPr>
          <w:b/>
          <w:bCs/>
        </w:rPr>
        <w:t xml:space="preserve">Yaralama suçunun unsurları yönünden kuvvetli şüphe kurulamaz:</w:t>
      </w:r>
      <w:r>
        <w:t xml:space="preserve"> TCK 86/1, başkasının vücuduna kasten acı verilmesini ya da sağlığının veya algılama yeteneğinin bozulmasını arar. Dosyada yaralanmanın benim hareketimle meydana geldiğini gösteren tarafsız bir delil yoktur. Olayı yalnız şikâyetçi ve [yakını / arkadaşı] anlatmaktadır; [kamera kaydı izlenmemiştir / kamera kaydında kimin önce vurduğu görünmemektedir]. Ayrıca bende de [darp izi / kesi] bulunduğu [gün.ay.yıl] tarihli raporla sabittir. İlk adli muayene raporu yaralanmanın [basit tıbbi müdahaleyle giderilebilir olduğunu / yaşamsal tehlike oluşturmadığını] göstermektedir. Kararda kabul edilen [silah / kemik kırığı / yaşamsal tehlike] gibi ağırlaştırıcı hâller ise henüz kesin raporla desteklenmemiştir.</w:t>
      </w:r>
    </w:p>
    <w:p>
      <w:pPr>
        <w:jc w:val="both"/>
        <w:spacing w:after="120" w:line="276" w:lineRule="auto"/>
      </w:pPr>
      <w:r>
        <w:t xml:space="preserve">3. </w:t>
      </w:r>
      <w:r>
        <w:rPr>
          <w:b/>
          <w:bCs/>
        </w:rPr>
        <w:t xml:space="preserve">Kaçacağımı gösteren olgu bulunmamaktadır:</w:t>
      </w:r>
      <w:r>
        <w:t xml:space="preserve"> [Kaç] yıldır [il, ilçe] adresinde oturuyorum. [İşyeri] işyerinde [görev] olarak sigortalı çalışıyorum ya da [esnaf olarak kendi işimi yürütüyorum]. Olay gecesi [evimde yakalandım / karakola kendim gittim]. Pasaportum [yoktur / teslim etmeye hazırım] ve yurt dışında bağlantım yoktur. Kararda kaçmayı gösteren tek somut olgu yazılmamıştır (CMK 100/2-a).</w:t>
      </w:r>
    </w:p>
    <w:p>
      <w:pPr>
        <w:jc w:val="both"/>
        <w:spacing w:after="120" w:line="276" w:lineRule="auto"/>
      </w:pPr>
      <w:r>
        <w:t xml:space="preserve">4. </w:t>
      </w:r>
      <w:r>
        <w:rPr>
          <w:b/>
          <w:bCs/>
        </w:rPr>
        <w:t xml:space="preserve">Karartılabilecek delil kalmamıştır:</w:t>
      </w:r>
      <w:r>
        <w:t xml:space="preserve"> Şikâyetçinin ve tanıkların ifadeleri alınmış, hastane kayıtları ve ilk adli rapor dosyaya girmiştir. Olay yerindeki [kamera kayıtlarına el konulmuştur / kolluk tarafından istenmiştir]. Kesin rapor Adli Tıp Kurumu veya hastane tarafından düzenlenecektir; bu raporu etkilemem mümkün değildir. Olaydan sonra şikâyetçiye veya tanıklara ulaştığıma dair hiçbir kayıt yoktur. Baskı endişesi, somut bir davranışa dayanmadıkça CMK 100/2-b'deki şüpheyi kurmaz.</w:t>
      </w:r>
    </w:p>
    <w:p>
      <w:pPr>
        <w:jc w:val="both"/>
        <w:spacing w:after="120" w:line="276" w:lineRule="auto"/>
      </w:pPr>
      <w:r>
        <w:t xml:space="preserve">5. </w:t>
      </w:r>
      <w:r>
        <w:rPr>
          <w:b/>
          <w:bCs/>
        </w:rPr>
        <w:t xml:space="preserve">Katalog kapsamı ve somut olgu şartı:</w:t>
      </w:r>
      <w:r>
        <w:t xml:space="preserve"> CMK 100/3-a-4'te kasten yaralamanın yalnız 86/3-b, e ve f bentleri ile neticesi sebebiyle ağırlaşmış hâlleri; 100/3-i, j ve k bentlerinde ise kadına, görevi sırasında sağlık personeline ve öğretmene karşı işlenen kasten yaralama sayılmıştır. [Dosyamdaki iddia TCK 86/1 temel hâli veya 86/3-a kapsamındadır ve mağdur erkektir; bu nedenle katalog karinesi uygulanamaz. / İddia katalogdadır; ancak CMK 100/3 bu durumda da suçun işlendiğine dair somut delillere dayanan kuvvetli şüphe sebeplerini arar.] Her iki ihtimalde de hâkim, tutuklama nedenini dosyadaki olgulara dayandırmak zorundadır.</w:t>
      </w:r>
    </w:p>
    <w:p>
      <w:pPr>
        <w:jc w:val="both"/>
        <w:spacing w:after="120" w:line="276" w:lineRule="auto"/>
      </w:pPr>
      <w:r>
        <w:t xml:space="preserve">6. </w:t>
      </w:r>
      <w:r>
        <w:rPr>
          <w:b/>
          <w:bCs/>
        </w:rPr>
        <w:t xml:space="preserve">Beklenen ceza karşısında tutuklama ölçüsüzdür:</w:t>
      </w:r>
      <w:r>
        <w:t xml:space="preserve"> TCK 86/1'in cezası bir yıl altı aydan üç yıla kadar hapistir; 86/2'deki hafif yaralamada altı aydan bir yıl altı aya kadar hapis veya adli para cezası öngörülür. [Silah veya eş gibi nitelikli hâl iddiasında ceza yarı oranında artırılır (TCK 86/3).] Adli sicil kaydım [yoktur], olay [haksız tahrik altında / karşılıklı arbede içinde] gerçekleşmiştir. Bu verilerle olası ceza [… ay / … yıl … ay] civarındadır ve hükmün açıklanmasının geri bırakılması (CMK 231/5) veya erteleme (TCK 51/1) sınırları içinde kalmaktadır. Tutukluluk, verilmesi muhtemel cezanın infazından daha ağır bir sonuç doğurmaya başlamıştır. Kasten yaralamada CMK 100/4'teki tutuklama yasağının vücut dokunulmazlığına karşı suçlarda uygulanmaması, ölçülülük denetimini ortadan kaldırmaz; CMK 100/1'in ikinci cümlesi her dosyada geçerlidir.</w:t>
      </w:r>
    </w:p>
    <w:p>
      <w:pPr>
        <w:jc w:val="both"/>
        <w:spacing w:after="120" w:line="276" w:lineRule="auto"/>
      </w:pPr>
      <w:r>
        <w:t xml:space="preserve">7. </w:t>
      </w:r>
      <w:r>
        <w:rPr>
          <w:b/>
          <w:bCs/>
        </w:rPr>
        <w:t xml:space="preserve">Adli kontrol ve koruma tedbirleri yeterlidir:</w:t>
      </w:r>
      <w:r>
        <w:t xml:space="preserve"> Şikâyetçinin korunması amacıyla tutuklamadan daha hafif ve etkili araçlar vardır. Şikâyetçinin konutuna, işyerine ve bulunduğu mahalleye gitmeme (CMK 109/3-l), belirli günlerde kolluğa imza (109/3-b), silah bulunduramama ve varsa ruhsatlı silahımı teslim etme (109/3-g), gerekirse alkol tedavisine katılma (109/3-e) yükümlülüklerini kabul ediyorum. [Aile içi olaylarda: 6284 sayılı Kanunun 5. maddesi uyarınca verilen veya verilecek uzaklaştırma ve yaklaşmama tedbirlerine uyacağımı, bu tedbirlerin teknik araçlarla izlenebileceğini (m. 12) ve aykırılığın zorlama hapsine yol açtığını (m. 13) biliyorum.] Adli kontrole aykırılık hâlinde ceza sınırı aranmadan tutuklanabileceğim de kanunda yazılıdır (CMK 112/1).</w:t>
      </w:r>
    </w:p>
    <w:p>
      <w:pPr>
        <w:jc w:val="both"/>
        <w:spacing w:after="120" w:line="276" w:lineRule="auto"/>
      </w:pPr>
      <w:r>
        <w:t xml:space="preserve">8. </w:t>
      </w:r>
      <w:r>
        <w:rPr>
          <w:b/>
          <w:bCs/>
        </w:rPr>
        <w:t xml:space="preserve">Karar CMK 101/2'ye uygun gerekçelendirilmemiştir:</w:t>
      </w:r>
      <w:r>
        <w:t xml:space="preserve"> Kararda "yaralanmanın niteliği, suçun işleniş şekli, kaçma şüphesi" gibi genel ifadeler kullanılmıştır. Hangi delilin karartılabileceği, şikâyetçiye hangi davranışla baskı yapılacağı, 109'daki yükümlülüklerin neden yetmeyeceği yazılmamıştır. Kuvvetli şüphe, tutuklama nedeni, ölçülülük ve adli kontrolün yetersizliği somut olgularla gösterilmediğinden karar kaldırılmalıdır.</w:t>
      </w:r>
    </w:p>
    <w:p>
      <w:pPr>
        <w:jc w:val="both"/>
        <w:spacing w:after="120" w:line="276" w:lineRule="auto"/>
      </w:pPr>
      <w:r>
        <w:rPr>
          <w:b/>
          <w:bCs/>
        </w:rPr>
        <w:t xml:space="preserve">SUÇA ÖZGÜ SEÇMELİ PARAGRAFLAR:</w:t>
      </w:r>
    </w:p>
    <w:p>
      <w:pPr>
        <w:jc w:val="both"/>
        <w:spacing w:after="120" w:line="276" w:lineRule="auto"/>
      </w:pPr>
      <w:r>
        <w:t xml:space="preserve">[SEÇENEK — dosyanıza uyuyorsa kullanın: yaralanma basit tıbbi müdahaleyle giderilebilecek düzeydeyse] </w:t>
      </w:r>
      <w:r>
        <w:rPr>
          <w:b/>
          <w:bCs/>
        </w:rPr>
        <w:t xml:space="preserve">Basit yaralamada tutuklama ölçüsüzlüğün açık örneğidir:</w:t>
      </w:r>
      <w:r>
        <w:t xml:space="preserve"> İlk raporda yaralanmanın basit bir tıbbi müdahaleyle giderilebileceği yazılıdır. Eylem bu nedenle en fazla TCK 86/2 kapsamındadır; [86/3'teki bir nitelikli hâl (eşe karşı, silahla vb.) iddiası yoksa] soruşturması şikâyete bağlıdır ve hâkim doğrudan adli para cezasına hükmedebilir. [Şikâyetçi [gün.ay.yıl] tarihli dilekçesiyle şikâyetinden vazgeçmiştir; bu durumda kovuşturmaya yer olmadığı veya düşme kararı verilecektir.] Üst sınırı bir yıl altı ay olan, şikâyetten vazgeçmeyle düşebilen bir suçta tutukluluğun sürmesi, işin önemiyle hiçbir şekilde orantılı değildir.</w:t>
      </w:r>
    </w:p>
    <w:p>
      <w:pPr>
        <w:jc w:val="both"/>
        <w:spacing w:after="120" w:line="276" w:lineRule="auto"/>
      </w:pPr>
      <w:r>
        <w:t xml:space="preserve">[SEÇENEK — dosyanıza uyuyorsa kullanın: karşılıklı kavga varsa] </w:t>
      </w:r>
      <w:r>
        <w:rPr>
          <w:b/>
          <w:bCs/>
        </w:rPr>
        <w:t xml:space="preserve">Olay karşılıklı kavgadır, ilk haksız hareket şikâyetçiden gelmiştir:</w:t>
      </w:r>
      <w:r>
        <w:t xml:space="preserve"> Şikâyetçi [önce bana vurmuş / üzerime yürümüş / araçtan inerek kapımı açmıştır]. Bende oluşan [kesik / morluk] [gün.ay.yıl] tarihli raporla sabittir ve şikâyetçi hakkında da soruşturma başlatılmıştır. Karşılıklı kavgada yaralanmanın kim tarafından başlatıldığı belirsiz kaldığında şüpheden yararlanma ilkesi uygulanır. En azından haksız tahrik nedeniyle ceza dörtte birden dörtte üçe kadar indirilecektir (TCK 29). İki tarafın da yaralandığı bir olayda yalnız benim tutuklanmam ölçülülük ve eşitlik ilkeleriyle bağdaşmaz.</w:t>
      </w:r>
    </w:p>
    <w:p>
      <w:pPr>
        <w:jc w:val="both"/>
        <w:spacing w:after="120" w:line="276" w:lineRule="auto"/>
      </w:pPr>
      <w:r>
        <w:t xml:space="preserve">[SEÇENEK — dosyanıza uyuyorsa kullanın: silahla yaralama iddiası tartışmalıysa] </w:t>
      </w:r>
      <w:r>
        <w:rPr>
          <w:b/>
          <w:bCs/>
        </w:rPr>
        <w:t xml:space="preserve">"Silah" unsuru ispatlanmamıştır:</w:t>
      </w:r>
      <w:r>
        <w:t xml:space="preserve"> Kararda yaralamanın silahla işlendiği kabul edilmiştir (TCK 86/3-e). Ancak olayda kullanıldığı ileri sürülen [eşya] ele geçirilmemiştir ya da [eşyanın] TCK 6/1-f anlamında saldırıda kullanılmaya elverişli olup olmadığı tespit edilmemiştir. Raporda tarif edilen yara [künt travma / sıyrık] niteliğindedir ve kesici alet izini göstermez. Silah hâli düştüğünde iddia katalog dışına çıkar; artırım da uygulanmaz.</w:t>
      </w:r>
    </w:p>
    <w:p>
      <w:pPr>
        <w:jc w:val="both"/>
        <w:spacing w:after="120" w:line="276" w:lineRule="auto"/>
      </w:pPr>
      <w:r>
        <w:t xml:space="preserve">[SEÇENEK — dosyanıza uyuyorsa kullanın: eşe veya kadına karşı yaralama iddiasında] </w:t>
      </w:r>
      <w:r>
        <w:rPr>
          <w:b/>
          <w:bCs/>
        </w:rPr>
        <w:t xml:space="preserve">Aile içi olayda koruma kararı tutuklamadan daha uygun bir araçtır:</w:t>
      </w:r>
      <w:r>
        <w:t xml:space="preserve"> İddia kadına karşı yaralama olduğundan CMK 100/3-i kapsamındadır. Ancak şikâyetçinin korunması asıl amaçsa, 6284 sayılı Kanun kapsamında [ortak konuttan uzaklaştırma / yaklaşmama / iletişim araçlarıyla rahatsız etmeme] tedbirleri [gün.ay.yıl] tarihinde verilmiştir veya derhâl verilebilir. Olaydan sonra [annemin / kardeşimin] [il, ilçe] adresindeki evinde kalacağım; bu adres ortak konuta [… km] uzaklıktadır. [Ortak çocuklarımızla kişisel ilişki için aile mahkemesinin belirleyeceği usule uyacağım.] Daha önce hakkımda [şikâyet / koruma kararı] bulunmamaktadır.</w:t>
      </w:r>
    </w:p>
    <w:p>
      <w:pPr>
        <w:jc w:val="both"/>
        <w:spacing w:after="120" w:line="276" w:lineRule="auto"/>
      </w:pPr>
      <w:r>
        <w:t xml:space="preserve">[SEÇENEK — dosyanıza uyuyorsa kullanın: ağırlaşmış netice yalnız ilk rapora dayanıyorsa] </w:t>
      </w:r>
      <w:r>
        <w:rPr>
          <w:b/>
          <w:bCs/>
        </w:rPr>
        <w:t xml:space="preserve">Kemik kırığı veya yaşamsal tehlike kesin raporla belirlenmemiştir:</w:t>
      </w:r>
      <w:r>
        <w:t xml:space="preserve"> Kararda yaralamanın [kemik kırığına (TCK 87/3) / yaşamsal tehlikeye (TCK 87/1-d)] neden olduğu kabul edilmiştir. Bu tespit, acil serviste düzenlenen ilk rapora dayanmaktadır. Kırığın hayat fonksiyonlarına etkisinin derecesi ve yaşamsal tehlikenin varlığı, tedavi tamamlandıktan sonra verilecek kesin raporla belirlenir. Kesin rapor gelmeden ağırlaşmış netice üzerinden kurulan kuvvetli şüphe, somut delile değil varsayıma dayanmaktadır.</w:t>
      </w:r>
    </w:p>
    <w:p>
      <w:pPr>
        <w:jc w:val="both"/>
        <w:spacing w:after="120" w:line="276" w:lineRule="auto"/>
      </w:pPr>
      <w:r>
        <w:t xml:space="preserve">[SEÇENEK — dosyanıza uyuyorsa kullanın: suç uzlaştırma kapsamındaysa] </w:t>
      </w:r>
      <w:r>
        <w:rPr>
          <w:b/>
          <w:bCs/>
        </w:rPr>
        <w:t xml:space="preserve">Uzlaşma ihtimali tutuklamayı anlamsız kılar:</w:t>
      </w:r>
      <w:r>
        <w:t xml:space="preserve"> İddia TCK 86/1 veya 86/2 kapsamında kaldığından suç uzlaştırma kapsamındadır (CMK 253/1-b). Şikâyetçiyle aramda [zararın karşılanması / özür] konusunda [görüşme yapılmıştır / uzlaştırmacı aracılığıyla görüşmeye hazırım]. Uzlaşma sağlanır ve edim derhâl yerine getirilirse kovuşturmaya yer olmadığı kararı verilecektir. Sonucu uzlaşmayla kapanabilecek bir dosyada tutuklama, amacından sapmış bir tedbir olur.</w:t>
      </w:r>
    </w:p>
    <w:p>
      <w:pPr>
        <w:jc w:val="both"/>
        <w:spacing w:after="120" w:line="276" w:lineRule="auto"/>
      </w:pPr>
      <w:r>
        <w:rPr>
          <w:b/>
          <w:bCs/>
        </w:rPr>
        <w:t xml:space="preserve">HUKUKİ NEDENLER:</w:t>
      </w:r>
      <w:r>
        <w:t xml:space="preserve"> Anayasa m. 19; Avrupa İnsan Hakları Sözleşmesi m. 5; 5271 sayılı CMK m. 100, 101, 109, 112, 231, 253, 262, 263, 268, 270, 271; 5237 sayılı TCK m. 6, 29, 51, 86, 87; 6284 sayılı Kanun m. 5, 12, 13; [varsa emsal karar künyesi].</w:t>
      </w:r>
    </w:p>
    <w:p>
      <w:pPr>
        <w:jc w:val="both"/>
        <w:spacing w:after="120" w:line="276" w:lineRule="auto"/>
      </w:pPr>
      <w:r>
        <w:rPr>
          <w:b/>
          <w:bCs/>
        </w:rPr>
        <w:t xml:space="preserve">DELİLLER:</w:t>
      </w:r>
      <w:r>
        <w:t xml:space="preserve"> Soruşturma dosyası, ilk adli muayene raporu, tarafıma ait darp raporu, [kamera kaydı, tanık beyanları, şikâyetten vazgeçme dilekçesi, 6284 tedbir kararı], yerleşim yeri belgesi, SGK hizmet dökümü veya vergi levhası, işveren yazısı, adli sicil kaydı, her türlü yasal delil.</w:t>
      </w:r>
    </w:p>
    <w:p>
      <w:pPr>
        <w:jc w:val="both"/>
        <w:spacing w:after="120" w:line="276" w:lineRule="auto"/>
      </w:pPr>
      <w:r>
        <w:rPr>
          <w:b/>
          <w:bCs/>
        </w:rPr>
        <w:t xml:space="preserve">SONUÇ VE İSTEM:</w:t>
      </w:r>
      <w:r>
        <w:t xml:space="preserve"> Açıkladığım ve resen dikkate alınacak sebeplerle;</w:t>
      </w:r>
    </w:p>
    <w:p>
      <w:pPr>
        <w:jc w:val="both"/>
        <w:spacing w:after="120" w:line="276" w:lineRule="auto"/>
      </w:pPr>
      <w:r>
        <w:t xml:space="preserve">1. </w:t>
      </w:r>
      <w:r>
        <w:t xml:space="preserve">İtirazımın kabulüyle tutuklama kararının kaldırılmasına ve derhâl tahliyeme; kararı veren merci itirazı yerinde görmezse dosyanın en geç üç gün içinde inceleme merciine gönderilmesine (CMK 268/2),</w:t>
      </w:r>
    </w:p>
    <w:p>
      <w:pPr>
        <w:jc w:val="both"/>
        <w:spacing w:after="120" w:line="276" w:lineRule="auto"/>
      </w:pPr>
      <w:r>
        <w:t xml:space="preserve">2. </w:t>
      </w:r>
      <w:r>
        <w:t xml:space="preserve">Tahliyem kabul edilmezse, terditli olarak CMK 109/3 uyarınca şikâyetçinin konutuna, işyerine ve [mahalle] bölgesine gitmeme, [haftada … gün] kolluğa imza, silah bulunduramama [ve alkol tedavisine katılma] yükümlülükleriyle salıverilmeme,</w:t>
      </w:r>
    </w:p>
    <w:p>
      <w:pPr>
        <w:jc w:val="both"/>
        <w:spacing w:after="120" w:line="276" w:lineRule="auto"/>
      </w:pPr>
      <w:r>
        <w:t xml:space="preserve">3. </w:t>
      </w:r>
      <w:r>
        <w:t xml:space="preserve">Gerekli görüldüğünde CMK 271/1 uyarınca müdafiimin dinlenmesine; itiraz hakkında savcılık görüşü alınırsa bu görüşün bana veya müdafiime bildirilmesine (CMK 270/2),</w:t>
      </w:r>
    </w:p>
    <w:p>
      <w:pPr>
        <w:jc w:val="both"/>
        <w:spacing w:after="120" w:line="276" w:lineRule="auto"/>
      </w:pPr>
      <w:r>
        <w:t xml:space="preserve">karar verilmesini saygılarımla arz ve talep ederim.</w:t>
      </w:r>
    </w:p>
    <w:p>
      <w:pPr>
        <w:jc w:val="right"/>
        <w:spacing w:after="120" w:line="276" w:lineRule="auto"/>
      </w:pPr>
      <w:r>
        <w:t xml:space="preserve">[gün.ay.yıl]</w:t>
      </w:r>
    </w:p>
    <w:p>
      <w:pPr>
        <w:jc w:val="right"/>
        <w:spacing w:after="120" w:line="276" w:lineRule="auto"/>
      </w:pPr>
      <w:r>
        <w:t xml:space="preserve">İtiraz Eden Şüpheli / Sanık</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Yerleşim yeri belgesi, SGK hizmet dökümü veya vergi levhası</w:t>
      </w:r>
    </w:p>
    <w:p>
      <w:pPr>
        <w:jc w:val="both"/>
        <w:spacing w:after="120" w:line="276" w:lineRule="auto"/>
      </w:pPr>
      <w:r>
        <w:t xml:space="preserve">3. </w:t>
      </w:r>
      <w:r>
        <w:t xml:space="preserve">Tarafıma ait darp raporu</w:t>
      </w:r>
    </w:p>
    <w:p>
      <w:pPr>
        <w:jc w:val="both"/>
        <w:spacing w:after="120" w:line="276" w:lineRule="auto"/>
      </w:pPr>
      <w:r>
        <w:t xml:space="preserve">4. </w:t>
      </w:r>
      <w:r>
        <w:t xml:space="preserve">[Şikâyetten vazgeçme dilekçesi, kalacağım adresin tapu veya kira belgesi, 6284 tedbir kararı, sağlık raporu]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