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[İL] [NO]. AĞIR CEZA MAHKEMESİ BAŞKANLIĞINA</w:t>
      </w:r>
    </w:p>
    <w:p>
      <w:pPr>
        <w:jc w:val="center"/>
        <w:spacing w:after="120" w:line="276" w:lineRule="auto"/>
      </w:pPr>
      <w:r>
        <w:t xml:space="preserve">[Soruşturmada: İl Asliye Ceza Mahkemesi Hâkimine / Kovuşturmada: numara olarak izleyen Ağır Ceza Mahkemesine, tek daire varsa en yakın Ağır Ceza Mahkemesine] gönderilmek üzere</w:t>
      </w:r>
    </w:p>
    <w:p>
      <w:pPr>
        <w:jc w:val="both"/>
        <w:spacing w:after="120" w:line="276" w:lineRule="auto"/>
      </w:pPr>
      <w:r>
        <w:rPr>
          <w:b/>
          <w:bCs/>
        </w:rPr>
        <w:t xml:space="preserve">DOSYA NO:</w:t>
      </w:r>
      <w:r>
        <w:t xml:space="preserve"> [Soruşturma no ve D. İş no / Esas no]</w:t>
      </w:r>
    </w:p>
    <w:p>
      <w:pPr>
        <w:jc w:val="both"/>
        <w:spacing w:after="120" w:line="276" w:lineRule="auto"/>
      </w:pPr>
      <w:r>
        <w:rPr>
          <w:b/>
          <w:bCs/>
        </w:rPr>
        <w:t xml:space="preserve">İTİRAZ EDEN [ŞÜPHELİ / SANIK]:</w:t>
      </w:r>
      <w:r>
        <w:t xml:space="preserve"> [Ad Soyad], T.C. Kimlik No: [...........]</w:t>
      </w:r>
    </w:p>
    <w:p>
      <w:pPr>
        <w:jc w:val="both"/>
        <w:spacing w:after="120" w:line="276" w:lineRule="auto"/>
      </w:pPr>
      <w:r>
        <w:t xml:space="preserve">Hâlen [......] Ceza İnfaz Kurumunda tutuklu</w:t>
      </w:r>
    </w:p>
    <w:p>
      <w:pPr>
        <w:jc w:val="both"/>
        <w:spacing w:after="120" w:line="276" w:lineRule="auto"/>
      </w:pPr>
      <w:r>
        <w:t xml:space="preserve">[varsa: MÜDAFİİ: Av. Ad Soyad, baro ve sicil no, adres]</w:t>
      </w:r>
    </w:p>
    <w:p>
      <w:pPr>
        <w:jc w:val="both"/>
        <w:spacing w:after="120" w:line="276" w:lineRule="auto"/>
      </w:pPr>
      <w:r>
        <w:rPr>
          <w:b/>
          <w:bCs/>
        </w:rPr>
        <w:t xml:space="preserve">SUÇ:</w:t>
      </w:r>
      <w:r>
        <w:t xml:space="preserve"> Yağma [TCK 148/1 / TCK 149/1 ve kararda gösterilen bent]</w:t>
      </w:r>
    </w:p>
    <w:p>
      <w:pPr>
        <w:jc w:val="both"/>
        <w:spacing w:after="120" w:line="276" w:lineRule="auto"/>
      </w:pPr>
      <w:r>
        <w:rPr>
          <w:b/>
          <w:bCs/>
        </w:rPr>
        <w:t xml:space="preserve">İTİRAZ EDİLEN KARAR:</w:t>
      </w:r>
      <w:r>
        <w:t xml:space="preserve"> [gg.aa.2026] tarihli, [sayı] sayılı [tutuklama / tutukluluğun devamı] kararı</w:t>
      </w:r>
    </w:p>
    <w:p>
      <w:pPr>
        <w:jc w:val="both"/>
        <w:spacing w:after="120" w:line="276" w:lineRule="auto"/>
      </w:pPr>
      <w:r>
        <w:rPr>
          <w:b/>
          <w:bCs/>
        </w:rPr>
        <w:t xml:space="preserve">KARARIN ÖĞRENİLDİĞİ TARİH:</w:t>
      </w:r>
      <w:r>
        <w:t xml:space="preserve"> [gg.aa.2026] [sorguda yüze karşı açıklandı / tebliğ edildi]</w:t>
      </w:r>
    </w:p>
    <w:p>
      <w:pPr>
        <w:jc w:val="both"/>
        <w:spacing w:after="120" w:line="276" w:lineRule="auto"/>
      </w:pPr>
      <w:r>
        <w:rPr>
          <w:b/>
          <w:bCs/>
        </w:rPr>
        <w:t xml:space="preserve">KONU:</w:t>
      </w:r>
      <w:r>
        <w:t xml:space="preserve"> Yağma isnadıyla verilen tutuklama kararına itirazımın sunulması; kararın kaldırılarak tahliyeme, olmadığı takdirde adli kontrol tedbirleriyle serbest bırakılmama karar verilmesi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Hakkımda [gg.aa.2026] tarihinde verilen tutuklama kararı bana [gg.aa.2026] tarihinde [sorgu sırasında açıklanmış / tebliğ edilmiştir]. İtirazım, CMK 268/1'deki iki haftalık süre içindedir. [Dilekçe ceza infaz kurumu müdürlüğüne verildiyse: kurumda düzenlenen tutanak süreyi kesmiştir (CMK 263/4).]</w:t>
      </w:r>
    </w:p>
    <w:p>
      <w:pPr>
        <w:jc w:val="both"/>
        <w:spacing w:after="120" w:line="276" w:lineRule="auto"/>
      </w:pPr>
      <w:r>
        <w:t xml:space="preserve">2. </w:t>
      </w:r>
      <w:r>
        <w:rPr>
          <w:b/>
          <w:bCs/>
        </w:rPr>
        <w:t xml:space="preserve">Yağmanın unsurları bakımından kuvvetli şüphe yoktur:</w:t>
      </w:r>
      <w:r>
        <w:t xml:space="preserve"> TCK 148/1, mağdurun hayatına, vücut veya cinsel dokunulmazlığına yönelik bir saldırı ya da malvarlığı itibarıyla büyük bir zarar tehdidiyle veya cebirle, bir malı teslime ya da alınmasına karşı koymamaya mecbur bırakılmasını arar. Kararda bu unsurların hangisinin hangi delille gösterildiği yazılmamıştır. Dosyada cebri gösteren bir darp raporu [yoktur / yalnız basit tıbbi müdahaleyle giderilebilir bir bulgu içermektedir]. Tehdit olarak nitelenen söz [mağdurun ilk ifadesinde geçmemektedir / hiçbir tanıkça doğrulanmamıştır]. Malın bana geçtiğini gösteren [eşya, kamera kaydı, satış ya da para yatırma kaydı] bulunmamaktadır. CMK 100/1 tutuklama için somut delillere dayanan kuvvetli şüphe arar; mağdurun tek başına kalan ve başka delille doğrulanmayan anlatımı bu eşiği karşılamaz.</w:t>
      </w:r>
    </w:p>
    <w:p>
      <w:pPr>
        <w:jc w:val="both"/>
        <w:spacing w:after="120" w:line="276" w:lineRule="auto"/>
      </w:pPr>
      <w:r>
        <w:t xml:space="preserve">3. </w:t>
      </w:r>
      <w:r>
        <w:rPr>
          <w:b/>
          <w:bCs/>
        </w:rPr>
        <w:t xml:space="preserve">Kaçma şüphesini gösteren somut olgu yoktur:</w:t>
      </w:r>
      <w:r>
        <w:t xml:space="preserve"> [Kaç] yıldır [ilçe/il] adresinde [annem ve babamla / eşim ve çocuklarımla] birlikte oturuyorum. [İşyeri] işyerinde [gg.aa.yyyy] tarihinden beri sigortalı çalışıyorum [/ [okul] öğrencisiyim]. Pasaportum [yoktur / teslim etmeye hazırım]. [Kolluk çağrısı üzerine kendiliğimden karakola gittim / olay yerinden uzaklaşmadım, evimde yakalandım.] Gizlenmeye, kimlik değiştirmeye ya da şehir dışına çıkmaya yönelik hiçbir davranışım yoktur. Kaçma şüphesi CMK 100/2-a uyarınca ancak somut olgulara dayanabilir; isnat edilen suçun cezasının yüksekliği tek başına böyle bir olgu sayılamaz.</w:t>
      </w:r>
    </w:p>
    <w:p>
      <w:pPr>
        <w:jc w:val="both"/>
        <w:spacing w:after="120" w:line="276" w:lineRule="auto"/>
      </w:pPr>
      <w:r>
        <w:t xml:space="preserve">4. </w:t>
      </w:r>
      <w:r>
        <w:rPr>
          <w:b/>
          <w:bCs/>
        </w:rPr>
        <w:t xml:space="preserve">Delil karartma ve mağdur üzerinde baskı ihtimali yoktur:</w:t>
      </w:r>
      <w:r>
        <w:t xml:space="preserve"> Mağdurun ve [sayı] tanığın ifadesi alınmış, [teşhis işlemi yapılmış,] olay yeri çevresindeki kamera kayıtları [kolluk tarafından toplanmış / istenmiş], telefonuma el konulmuştur. Evimde yapılan aramada [suça konu eşya bulunmamıştır / bulunan eşya muhafaza altına alınmıştır]. Toplanmış bu delilleri değiştirmem mümkün değildir. Mağdurla [hiçbir tanışıklığım yoktur / olaydan sonra hiçbir temas kurmadım]; ona veya tanıklara baskı girişimimi gösteren tek bir tutanak dosyada bulunmamaktadır (CMK 100/2-b).</w:t>
      </w:r>
    </w:p>
    <w:p>
      <w:pPr>
        <w:jc w:val="both"/>
        <w:spacing w:after="120" w:line="276" w:lineRule="auto"/>
      </w:pPr>
      <w:r>
        <w:t xml:space="preserve">5. </w:t>
      </w:r>
      <w:r>
        <w:rPr>
          <w:b/>
          <w:bCs/>
        </w:rPr>
        <w:t xml:space="preserve">Katalog suç olması tek başına tutuklama gerekçesi değildir:</w:t>
      </w:r>
      <w:r>
        <w:t xml:space="preserve"> Yağma, CMK 100/3-a-8 bendinde sayılan suçlardandır ve bu suçlarda tutuklama nedeni var sayılabilir. Ancak aynı fıkra bu karineyi "somut delillere dayanan kuvvetli şüphe sebeplerinin varlığı" şartına bağlar; ölçülülük şartı da yerinde durur (CMK 100/1, ikinci cümle). Anayasa Mahkemesi ve Avrupa İnsan Hakları Mahkemesi içtihadına göre suçun ağırlığı ve katalogda yer alması, kişiyi özgürlüğünden yoksun bırakmanın tek ve otomatik dayanağı olamaz [varsa emsal karar künyesi].</w:t>
      </w:r>
    </w:p>
    <w:p>
      <w:pPr>
        <w:jc w:val="both"/>
        <w:spacing w:after="120" w:line="276" w:lineRule="auto"/>
      </w:pPr>
      <w:r>
        <w:t xml:space="preserve">6. </w:t>
      </w:r>
      <w:r>
        <w:rPr>
          <w:b/>
          <w:bCs/>
        </w:rPr>
        <w:t xml:space="preserve">Tutuklama, beklenen cezayla ölçülü değildir:</w:t>
      </w:r>
      <w:r>
        <w:t xml:space="preserve"> [Adli sicil kaydım yoktur.] Dosyadaki delil durumu ve aşağıdaki seçmeli paragraflarda açıkladığım nitelendirme ve indirim ihtimalleri birlikte değerlendirildiğinde, verilebilecek ceza TCK 148/1'deki alt sınırın altına inebilecektir: malın değerinin azlığında ceza üçte birden yarıya kadar (TCK 150/2), kovuşturmadan önce iade veya tazminde yarısına kadar (TCK 168/3), teşebbüste dörtte birden dörtte üçe kadar (TCK 35/2) indirilir. Tutuklulukta geçen her gün cezadan mahsup edilse de (TCK 63/1), [işimi kaybetmem / eğitimimin kesilmesi / bakmakla yükümlü olduğum [kişi]nin kimsesiz kalması] gibi telafisi güç sonuçlar şimdiden doğmaktadır [belgeler ekte]. [Sağlık durumum: [rapor tarihi ve tanı].]</w:t>
      </w:r>
    </w:p>
    <w:p>
      <w:pPr>
        <w:jc w:val="both"/>
        <w:spacing w:after="120" w:line="276" w:lineRule="auto"/>
      </w:pPr>
      <w:r>
        <w:t xml:space="preserve">7. </w:t>
      </w:r>
      <w:r>
        <w:rPr>
          <w:b/>
          <w:bCs/>
        </w:rPr>
        <w:t xml:space="preserve">Adli kontrol yeterlidir:</w:t>
      </w:r>
      <w:r>
        <w:t xml:space="preserve"> Kararda adli kontrolün neden yetersiz kalacağı açıklanmamıştır (CMK 101/1, 101/2-d). Yurt dışına çıkamamak (CMK 109/3-a), hâkimin belirleyeceği günlerde kolluğa başvurmak (109/3-b), mağdurun konutuna, işyerine ve olayın geçtiği [semt / cadde] çevresine gitmemek (109/3-l), gerekirse konutunu terk etmemek (109/3-j) yükümlülükleri hem kaçma hem de mağdurla temas kaygısını karşılar. [Ruhsatlı silahım varsa: silahımı adli emanete teslim etmeye hazırım (109/3-g).]</w:t>
      </w:r>
    </w:p>
    <w:p>
      <w:pPr>
        <w:jc w:val="both"/>
        <w:spacing w:after="120" w:line="276" w:lineRule="auto"/>
      </w:pPr>
      <w:r>
        <w:t xml:space="preserve">8. </w:t>
      </w:r>
      <w:r>
        <w:rPr>
          <w:b/>
          <w:bCs/>
        </w:rPr>
        <w:t xml:space="preserve">Karar gerekçesizdir:</w:t>
      </w:r>
      <w:r>
        <w:t xml:space="preserve"> Tutuklama kararında "suçun niteliği, mevcut delil durumu, katalog suç olması, adli kontrolün yetersiz kalacağı" gibi kanun metnini tekrar eden ifadeler kullanılmış; kuvvetli şüphe, tutuklama nedeni, ölçülülük ve adli kontrolün yetersizliği somut olgularla ayrı ayrı gösterilmemiştir. CMK 101/2 bu dört başlığın her birinin delile ve olguya bağlanmasını emreder; bu eksiklik tek başına kararın kaldırılmasını gerektirir.</w:t>
      </w:r>
    </w:p>
    <w:p>
      <w:pPr>
        <w:jc w:val="both"/>
        <w:spacing w:after="120" w:line="276" w:lineRule="auto"/>
      </w:pPr>
      <w:r>
        <w:t xml:space="preserve">9. </w:t>
      </w:r>
      <w:r>
        <w:t xml:space="preserve">[SEÇENEK — dosyanıza uyuyorsa kullanın: fail tanınmıyor ve tutuklama yalnız teşhise dayanıyorsa] Beni olayla ilişkilendiren tek delil mağdurun teşhisidir. Teşhis, mağdura [kolluk binasında tek bir fotoğraf / sosyal medya hesabımdaki fotoğraf / kelepçeli hâlde yalnız ben] gösterilerek yapılmış; benzer yaş, boy ve görünümde kişiler arasında sıra teşhisi yapılmamıştır. Mağdurun olaydan hemen sonra verdiği tarif [boy, yaş, saç, kıyafet, belirgin iz] benimle örtüşmemektedir: [farkları yazın]. Olay [karanlıkta / birkaç saniye içinde / mağdur korku altındayken] gerçekleşmiştir. Telkine açık bir teşhis, başka delille desteklenmedikçe kuvvetli şüphe oluşturmaz. Olay saatinde [yer] bulunduğum [işyeri giriş kaydı / kart harcaması / tanık] ile desteklenmektedir; HTS ve baz kayıtlarımın getirtilmesi bunu kısa sürede doğrular.</w:t>
      </w:r>
    </w:p>
    <w:p>
      <w:pPr>
        <w:jc w:val="both"/>
        <w:spacing w:after="120" w:line="276" w:lineRule="auto"/>
      </w:pPr>
      <w:r>
        <w:t xml:space="preserve">10. </w:t>
      </w:r>
      <w:r>
        <w:t xml:space="preserve">[SEÇENEK — dosyanıza uyuyorsa kullanın: mağdurla aranızda borç ilişkisi varsa] Mağdurla aramızda [gg.aa.yyyy] tarihli [borç / iş ücreti / satış bedeli] ilişkisi vardır ve mağdurun bana [....] TL borcu bulunmaktadır [senet / dekont / yazışma ekte]. Kişinin hukuki ilişkiye dayanan alacağını tahsil amacıyla tehdit veya cebir kullanması hâlinde yağma değil, ancak tehdit veya kasten yaralama hükümleri uygulanır (TCK 150/1). Eylem TCK 106/1'deki tehdide dönüşürse cezanın üst sınırı iki yıldır; bu suç vücut dokunulmazlığına karşı işlenen bir suç olmadığından CMK 100/4 uyarınca tutuklama yasağı kapsamındadır. [Silahla tehdit iddiasında TCK 106/2 tartışılır; o durumda da ceza yağmanın çok altında kalır.]</w:t>
      </w:r>
    </w:p>
    <w:p>
      <w:pPr>
        <w:jc w:val="both"/>
        <w:spacing w:after="120" w:line="276" w:lineRule="auto"/>
      </w:pPr>
      <w:r>
        <w:t xml:space="preserve">11. </w:t>
      </w:r>
      <w:r>
        <w:t xml:space="preserve">[SEÇENEK — dosyanıza uyuyorsa kullanın: eşya elden çekilip alındıysa ya da kuvvet yalnız kaçarken kullanıldıysa] Mağdurun anlatımına göre [çanta / telefon] elinden çekilerek alınmış, mağdurun direncini kırmaya yönelik ayrı bir cebir kullanılmamıştır. Bu anlatım yağmayı değil, TCK 142/2-b'deki çekip alma suretiyle hırsızlığı tartışmaya açar. [Kuvvet mal alındıktan sonra yalnız olay yerinden uzaklaşırken çıkan itişmede kullanılmışsa: hırsızlık ve yaralama ayrı ayrı değerlendirilmelidir.] Nitelendirme bu ölçüde tartışmalıyken yağmanın alt sınırı esas alınarak verilen tutuklama kararı ölçülü değildir.</w:t>
      </w:r>
    </w:p>
    <w:p>
      <w:pPr>
        <w:jc w:val="both"/>
        <w:spacing w:after="120" w:line="276" w:lineRule="auto"/>
      </w:pPr>
      <w:r>
        <w:t xml:space="preserve">12. </w:t>
      </w:r>
      <w:r>
        <w:t xml:space="preserve">[SEÇENEK — dosyanıza uyuyorsa kullanın: kararda silahla yağma kabul edildiyse] Kararda TCK 149/1-a'daki silahla işleme hâli esas alınmıştır. Oysa olayda kullanıldığı söylenen alet ele geçirilmemiş, [ele geçen cisim [oyuncak tabanca / kurusıkı / sopa] olup saldırıya elverişliliği bilirkişiyle incelenmemiştir]. Mağdurun "elinde bir şey vardı" anlatımı, aletin TCK 6/1-f anlamında silah olduğunu göstermez. Nitelikli hâl ayrıldığında ceza aralığı 10-15 yıldan 6-10 yıla iner; bu fark tutuklamanın ölçülülüğünü doğrudan etkiler.</w:t>
      </w:r>
    </w:p>
    <w:p>
      <w:pPr>
        <w:jc w:val="both"/>
        <w:spacing w:after="120" w:line="276" w:lineRule="auto"/>
      </w:pPr>
      <w:r>
        <w:t xml:space="preserve">13. </w:t>
      </w:r>
      <w:r>
        <w:t xml:space="preserve">[SEÇENEK — dosyanıza uyuyorsa kullanın: mal iade edildiyse ya da değeri azsa] Suça konu [eşya / para] [gg.aa.2026] tarihinde tarafımdan [ailem / avukatım aracılığıyla] mağdura [aynen iade edilmiş / bedeli ödenmiştir] [iade tutanağı / dekont ekte]. Kovuşturma başlamadan önce gösterilen bu etkin pişmanlık, cezanın yarısına kadar indirilmesini gerektirir (TCK 168/3); kısmi iadede mağdurun rızası da ektedir (TCK 168/4). Eşyanın değeri [....] TL olup değer azlığı indirimi (TCK 150/2) ayrıca gündeme gelecektir. İade, mağdurla aramızdaki meselenin kapandığını ve mağdur üzerinde baskı kurmam için bir neden kalmadığını da gösterir.</w:t>
      </w:r>
    </w:p>
    <w:p>
      <w:pPr>
        <w:jc w:val="both"/>
        <w:spacing w:after="120" w:line="276" w:lineRule="auto"/>
      </w:pPr>
      <w:r>
        <w:t xml:space="preserve">14. </w:t>
      </w:r>
      <w:r>
        <w:t xml:space="preserve">[SEÇENEK — dosyanıza uyuyorsa kullanın: suç tarihinde 18 yaşından küçükseniz ya da sabıkasız bir genç yetişkinseniz] Suç tarihinde [....] yaşındaydım [nüfus kaydı ekte]. 18 yaşından küçükler bakımından tutukluluk süreleri CMK 102/5 uyarınca kısaltılarak uygulanır ve verilecek cezada TCK 31 uyarınca indirim yapılır; tutuklamanın bir çocuk üzerindeki ağır etkisi ölçülülük denetiminde ayrıca gözetilmelidir. [Adli sicil kaydım yoktur; bu dosya hayatımdaki ilk soruşturmadır.] [Okul kaydım ve ailemin yanında yaşadığım ekteki belgelerle sabittir.]</w:t>
      </w:r>
    </w:p>
    <w:p>
      <w:pPr>
        <w:jc w:val="both"/>
        <w:spacing w:after="120" w:line="276" w:lineRule="auto"/>
      </w:pPr>
      <w:r>
        <w:rPr>
          <w:b/>
          <w:bCs/>
        </w:rPr>
        <w:t xml:space="preserve">HUKUKİ NEDENLER:</w:t>
      </w:r>
      <w:r>
        <w:t xml:space="preserve"> Anayasa m.19; AİHS m.5; CMK m.100, 101, 102, 109, 262, 263, 268, 270, 271; TCK m.6, 35, 63, 106, 142, 148, 149, 150, 168; [varsa emsal karar künyesi].</w:t>
      </w:r>
    </w:p>
    <w:p>
      <w:pPr>
        <w:jc w:val="both"/>
        <w:spacing w:after="120" w:line="276" w:lineRule="auto"/>
      </w:pPr>
      <w:r>
        <w:rPr>
          <w:b/>
          <w:bCs/>
        </w:rPr>
        <w:t xml:space="preserve">DELİLLER:</w:t>
      </w:r>
      <w:r>
        <w:t xml:space="preserve"> Soruşturma dosyası, mağdurun ilk tarifi ve sonraki ifadeleri, teşhis tutanağı, [darp raporu], [kamera kayıtları], [HTS ve baz kayıtları], [alacağı gösteren belge], [iade tutanağı / dekont], yerleşim yeri belgesi, SGK hizmet dökümü veya öğrenci belgesi, adli sicil kaydı ve her türlü yasal delil.</w:t>
      </w:r>
    </w:p>
    <w:p>
      <w:pPr>
        <w:jc w:val="both"/>
        <w:spacing w:after="120" w:line="276" w:lineRule="auto"/>
      </w:pPr>
      <w:r>
        <w:rPr>
          <w:b/>
          <w:bCs/>
        </w:rPr>
        <w:t xml:space="preserve">SONUÇ VE İSTEM:</w:t>
      </w:r>
      <w:r>
        <w:t xml:space="preserve"> Yukarıda açıklanan ve resen gözetilecek nedenlerle;</w:t>
      </w:r>
    </w:p>
    <w:p>
      <w:pPr>
        <w:jc w:val="both"/>
        <w:spacing w:after="120" w:line="276" w:lineRule="auto"/>
      </w:pPr>
      <w:r>
        <w:t xml:space="preserve">1. </w:t>
      </w:r>
      <w:r>
        <w:t xml:space="preserve">İtirazımın yerinde görülerek kararın düzeltilmesine (CMK 268/2), düzeltilmezse dosyanın itirazı incelemeye yetkili [asliye ceza mahkemesi hâkimine / ağır ceza mahkemesine] gönderilerek tutuklama kararının kaldırılmasına ve TAHLİYEME,</w:t>
      </w:r>
    </w:p>
    <w:p>
      <w:pPr>
        <w:jc w:val="both"/>
        <w:spacing w:after="120" w:line="276" w:lineRule="auto"/>
      </w:pPr>
      <w:r>
        <w:t xml:space="preserve">2. </w:t>
      </w:r>
      <w:r>
        <w:t xml:space="preserve">Tahliyem yerinde görülmezse, terditli olarak CMK 109/3 uyarınca yurt dışına çıkış yasağı, [haftada ... gün] kolluğa başvurma, mağdurun konutuna ve işyerine gitmeme, gerekirse konutu terk etmeme yükümlülüklerinden uygun görülenleri uygulanarak SERBEST BIRAKILMAMA,</w:t>
      </w:r>
    </w:p>
    <w:p>
      <w:pPr>
        <w:jc w:val="both"/>
        <w:spacing w:after="120" w:line="276" w:lineRule="auto"/>
      </w:pPr>
      <w:r>
        <w:t xml:space="preserve">3. </w:t>
      </w:r>
      <w:r>
        <w:t xml:space="preserve">CMK 271/1 uyarınca gerekli görülmesi hâlinde itiraz incelemesinde müdafiimin dinlenmesine; Cumhuriyet savcısının görüşü alınırsa bu görüşün tarafıma bildirilmesine (CMK 270/2),</w:t>
      </w:r>
    </w:p>
    <w:p>
      <w:pPr>
        <w:jc w:val="both"/>
        <w:spacing w:after="120" w:line="276" w:lineRule="auto"/>
      </w:pPr>
      <w:r>
        <w:t xml:space="preserve">4. </w:t>
      </w:r>
      <w:r>
        <w:t xml:space="preserve">[Teşhise dayanılıyorsa: CMK 270/1 uyarınca olay yeri kamera kayıtlarının ve HTS ile baz kayıtlarımın incelenmesine,]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İtiraz Eden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Tutuklama kararının örneği</w:t>
      </w:r>
    </w:p>
    <w:p>
      <w:pPr>
        <w:jc w:val="both"/>
        <w:spacing w:after="120" w:line="276" w:lineRule="auto"/>
      </w:pPr>
      <w:r>
        <w:t xml:space="preserve">2. </w:t>
      </w:r>
      <w:r>
        <w:t xml:space="preserve">Yerleşim yeri belgesi ve nüfus kayıt örneği</w:t>
      </w:r>
    </w:p>
    <w:p>
      <w:pPr>
        <w:jc w:val="both"/>
        <w:spacing w:after="120" w:line="276" w:lineRule="auto"/>
      </w:pPr>
      <w:r>
        <w:t xml:space="preserve">3. </w:t>
      </w:r>
      <w:r>
        <w:t xml:space="preserve">SGK hizmet dökümü, işveren yazısı veya öğrenci belgesi</w:t>
      </w:r>
    </w:p>
    <w:p>
      <w:pPr>
        <w:jc w:val="both"/>
        <w:spacing w:after="120" w:line="276" w:lineRule="auto"/>
      </w:pPr>
      <w:r>
        <w:t xml:space="preserve">4. </w:t>
      </w:r>
      <w:r>
        <w:t xml:space="preserve">[İade tutanağı / dekont / alacak belgesi / olay saatinde başka yerde olduğunuzu gösteren kayıt]</w:t>
      </w:r>
    </w:p>
    <w:p>
      <w:pPr>
        <w:jc w:val="both"/>
        <w:spacing w:after="120" w:line="276" w:lineRule="auto"/>
      </w:pPr>
      <w:r>
        <w:t xml:space="preserve">5. </w:t>
      </w:r>
      <w:r>
        <w:t xml:space="preserve">[Sağlık raporu, bakım yükünü gösteren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