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[SULH CEZA HÂKİMLİĞİNE / ASLİYE CEZA MAHKEMESİNE / AĞIR CEZA MAHKEMESİNE]</w:t>
      </w:r>
    </w:p>
    <w:p>
      <w:pPr>
        <w:jc w:val="center"/>
        <w:spacing w:after="120" w:line="276" w:lineRule="auto"/>
      </w:pPr>
      <w:r>
        <w:t xml:space="preserve">[İl] [Asliye Ceza Mahkemesi Hâkimine / Ağır Ceza Mahkemesine / izleyen numaralı Ağır Ceza Mahkemesine] gönderilmek üzere</w:t>
      </w:r>
    </w:p>
    <w:p>
      <w:pPr>
        <w:jc w:val="both"/>
        <w:spacing w:after="120" w:line="276" w:lineRule="auto"/>
      </w:pPr>
      <w:r>
        <w:rPr>
          <w:i/>
          <w:iCs/>
        </w:rPr>
        <w:t xml:space="preserve">[Başlık seçimi: tutuklama kararı soruşturmada sulh ceza hâkimliğinden çıktıysa ilk seçenekleri yazın. Dava açıldıktan sonra asliye ceza mahkemesi karar verdiyse "Ağır Ceza Mahkemesine", ağır ceza mahkemesi karar verdiyse "izleyen numaralı Ağır Ceza Mahkemesine gönderilmek üzere" yazın. Kullanmadığınız seçenekleri ve bu notu silin.]</w:t>
      </w:r>
    </w:p>
    <w:p>
      <w:pPr>
        <w:jc w:val="both"/>
        <w:spacing w:after="120" w:line="276" w:lineRule="auto"/>
      </w:pPr>
      <w:r>
        <w:rPr>
          <w:b/>
          <w:bCs/>
        </w:rPr>
        <w:t xml:space="preserve">DEĞİŞİK İŞ / SORUŞTURMA / ESAS NO:</w:t>
      </w:r>
      <w:r>
        <w:t xml:space="preserve"> [yıl/sayı]</w:t>
      </w:r>
    </w:p>
    <w:p>
      <w:pPr>
        <w:jc w:val="both"/>
        <w:spacing w:after="120" w:line="276" w:lineRule="auto"/>
      </w:pPr>
      <w:r>
        <w:rPr>
          <w:b/>
          <w:bCs/>
        </w:rPr>
        <w:t xml:space="preserve">İTİRAZ EDEN [ŞÜPHELİ / SANIK]:</w:t>
      </w:r>
      <w:r>
        <w:t xml:space="preserve"> [Ad Soyad], T.C. Kimlik No: [...........], [Baba adı, doğum yeri ve tarihi]</w:t>
      </w:r>
    </w:p>
    <w:p>
      <w:pPr>
        <w:jc w:val="both"/>
        <w:spacing w:after="120" w:line="276" w:lineRule="auto"/>
      </w:pPr>
      <w:r>
        <w:t xml:space="preserve">Hâlen [..........] Ceza İnfaz Kurumunda tutuklu</w:t>
      </w:r>
    </w:p>
    <w:p>
      <w:pPr>
        <w:jc w:val="both"/>
        <w:spacing w:after="120" w:line="276" w:lineRule="auto"/>
      </w:pPr>
      <w:r>
        <w:t xml:space="preserve">[varsa: MÜDAFİİ: Av. Ad Soyad, Baro ve sicil no, adres]</w:t>
      </w:r>
    </w:p>
    <w:p>
      <w:pPr>
        <w:jc w:val="both"/>
        <w:spacing w:after="120" w:line="276" w:lineRule="auto"/>
      </w:pPr>
      <w:r>
        <w:rPr>
          <w:b/>
          <w:bCs/>
        </w:rPr>
        <w:t xml:space="preserve">İSNAT EDİLEN SUÇ:</w:t>
      </w:r>
      <w:r>
        <w:t xml:space="preserve"> Nitelikli dolandırıcılık [TCK 158/1-f / TCK 158/1-l; kararda yazıyorsa TCK 37 veya TCK 39 ile]</w:t>
      </w:r>
    </w:p>
    <w:p>
      <w:pPr>
        <w:jc w:val="both"/>
        <w:spacing w:after="120" w:line="276" w:lineRule="auto"/>
      </w:pPr>
      <w:r>
        <w:rPr>
          <w:b/>
          <w:bCs/>
        </w:rPr>
        <w:t xml:space="preserve">İTİRAZ EDİLEN KARAR:</w:t>
      </w:r>
      <w:r>
        <w:t xml:space="preserve"> [gg.aa.yyyy] tarihli, [yıl/sayı] sayılı tutuklama kararı</w:t>
      </w:r>
    </w:p>
    <w:p>
      <w:pPr>
        <w:jc w:val="both"/>
        <w:spacing w:after="120" w:line="276" w:lineRule="auto"/>
      </w:pPr>
      <w:r>
        <w:rPr>
          <w:b/>
          <w:bCs/>
        </w:rPr>
        <w:t xml:space="preserve">KARARIN AÇIKLANDIĞI TARİH:</w:t>
      </w:r>
      <w:r>
        <w:t xml:space="preserve"> [gg.aa.yyyy] (sorguda yüze karşı)</w:t>
      </w:r>
    </w:p>
    <w:p>
      <w:pPr>
        <w:jc w:val="both"/>
        <w:spacing w:after="120" w:line="276" w:lineRule="auto"/>
      </w:pPr>
      <w:r>
        <w:rPr>
          <w:b/>
          <w:bCs/>
        </w:rPr>
        <w:t xml:space="preserve">KONU:</w:t>
      </w:r>
      <w:r>
        <w:t xml:space="preserve"> Banka hesabımın bir dolandırıcılıkta kullanıldığı iddiasıyla verilen tutuklama kararına itirazlarımın sunulması; kararın kaldırılarak tahliyeme, bu mümkün görülmezse CMK 109 kapsamında adli kontrol tedbirleriyle salıverilmeme karar verilmesi talebidir.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Süre:</w:t>
      </w:r>
      <w:r>
        <w:t xml:space="preserve"> [gg.aa.yyyy] tarihinde [ilçe] Emniyet Müdürlüğü [Siber Suçlarla Mücadele / Dolandırıcılık] Büro Amirliğince gözaltına alındım ve [gg.aa.yyyy] tarihinde tutuklanmama karar verildi. Karar bana sorgu sırasında açıklandı. Bu itiraz, CMK 268/1'de öngörülen iki haftalık süre içinde yapılmaktadır.</w:t>
      </w:r>
    </w:p>
    <w:p>
      <w:pPr>
        <w:jc w:val="both"/>
        <w:spacing w:after="120" w:line="276" w:lineRule="auto"/>
      </w:pPr>
      <w:r>
        <w:t xml:space="preserve">2. </w:t>
      </w:r>
      <w:r>
        <w:rPr>
          <w:b/>
          <w:bCs/>
        </w:rPr>
        <w:t xml:space="preserve">Hileli davranışı kuran kişi ile benim aramda bağ yoktur:</w:t>
      </w:r>
      <w:r>
        <w:t xml:space="preserve"> TCK 157 ve 158'deki suçun ilk unsuru, mağduru yanıltacak bir hiledir. Dosyadaki müşteki beyanına göre müştekiyi arayan ya da ona yazan kişi kendini [banka çalışanı / kamu görevlisi / ilan sahibi / kargo görevlisi] olarak tanıtmış ve [telefon numarası / sosyal medya hesabı] üzerinden iletişim kurmuştur. Bu hattın ya da hesabın benimle bağlantısını gösteren bir abone kaydı, HTS (arama ve baz kaydı) dökümü veya yazışma dosyada yoktur. Müşteki de ifadesinde beni tanımadığını, benimle hiç konuşmadığını söylemiştir [ifade tarihi ve sayfası]. Aldatmayı yapan kişi belirlenmeden, onun hilesini benim bildiğimi gösteren somut bir delil olmadan hakkımda kuvvetli suç şüphesi kurulamaz.</w:t>
      </w:r>
    </w:p>
    <w:p>
      <w:pPr>
        <w:jc w:val="both"/>
        <w:spacing w:after="120" w:line="276" w:lineRule="auto"/>
      </w:pPr>
      <w:r>
        <w:t xml:space="preserve">3. </w:t>
      </w:r>
      <w:r>
        <w:rPr>
          <w:b/>
          <w:bCs/>
        </w:rPr>
        <w:t xml:space="preserve">Hesap sahibi olmak suça iştirak etmek değildir:</w:t>
      </w:r>
      <w:r>
        <w:t xml:space="preserve"> Tutuklama kararının tek dayanağı, müştekinin parasının [banka adı] nezdindeki, IBAN numarasının son dört hanesi [....] olan hesabıma gelmiş olmasıdır. Dolandırıcılık kasten işlenebilen bir suçtur; kast, suçun kanuni tanımındaki unsurların bilerek ve istenerek gerçekleştirilmesidir (TCK 21/1). Hesabımın bir dolandırıcılıkta kullanılacağını bildiğimi gösteren bir yazışma, komisyon kaydı ya da tanık beyanı dosyada yoktur. Hesap bilgilerimin [nasıl ve kime geçtiğini] kollukta ve sorguda aynı biçimde anlattım. Paranın hesaptan geçmesi, iştirak iradesinin delili değil, soruşturmanın başlangıç noktasıdır. CMK 100/1 tutuklama için "kuvvetli suç şüphesinin varlığını gösteren somut deliller" arar; dosyada bu düzeyde bir delil bulunmamaktadır.</w:t>
      </w:r>
    </w:p>
    <w:p>
      <w:pPr>
        <w:jc w:val="both"/>
        <w:spacing w:after="120" w:line="276" w:lineRule="auto"/>
      </w:pPr>
      <w:r>
        <w:t xml:space="preserve">4. </w:t>
      </w:r>
      <w:r>
        <w:rPr>
          <w:b/>
          <w:bCs/>
        </w:rPr>
        <w:t xml:space="preserve">Paranın akıbeti benim aleyhime değil lehime bir tablo çizmektedir:</w:t>
      </w:r>
      <w:r>
        <w:t xml:space="preserve"> Banka hareketlerine göre hesabıma gelen [tutar] TL, [gg.aa.yyyy saat ..:..] itibarıyla [başka bir hesaba aktarılmış / ATM'den çekilmiş / hesapta blokeli olarak durmaktadır]. Çıkış işleminin hangi cihazdan, hangi IP adresinden ya da hangi ATM'den yapıldığı henüz dosyaya gelmemiştir. Bu kayıtlar gelmeden parayı benim kullandığım ya da bir başkasına teslim ettiğim varsayılamaz.</w:t>
      </w:r>
    </w:p>
    <w:p>
      <w:pPr>
        <w:jc w:val="both"/>
        <w:spacing w:after="120" w:line="276" w:lineRule="auto"/>
      </w:pPr>
      <w:r>
        <w:t xml:space="preserve">5. </w:t>
      </w:r>
      <w:r>
        <w:t xml:space="preserve">[SEÇENEK — dosyanıza uyuyorsa kullanın: kararda "çok sayıda mağdur" gerekçesi varsa] Tutuklama kararında hesabıma çok sayıda kişiden para geldiği belirtilmiştir. Oysa dosyadaki banka dökümüne göre benim hesabıma gelen işlem sayısı [..] adettir ve toplam tutar [tutar] TL'dir. Dosyadaki diğer [..] müştekinin parası başka kişilere ait hesaplara gitmiştir. Her şüphelinin sorumluluğu kendi hesabından geçen işlemle sınırlıdır; başka hesaplara giden paralar tutukluluğumun gerekçesi yapılamaz.</w:t>
      </w:r>
    </w:p>
    <w:p>
      <w:pPr>
        <w:jc w:val="both"/>
        <w:spacing w:after="120" w:line="276" w:lineRule="auto"/>
      </w:pPr>
      <w:r>
        <w:t xml:space="preserve">6. </w:t>
      </w:r>
      <w:r>
        <w:t xml:space="preserve">[SEÇENEK — dosyanıza uyuyorsa kullanın: hesap bilgileriniz iş ilanı veya kredi vaadiyle alındıysa] Hesap bilgilerimi, [sosyal medya / iş ilanı sitesi] üzerinden bana ulaşan ve "[evden çalışma / kredi notu yükseltme / şirket tahsilatı]" vaadinde bulunan kişilere verdim. Ekteki yazışmalar bu kurguyu tarih ve numarasıyla göstermektedir. Durumu anladığım [gg.aa.yyyy] tarihinde [bankaya başvurup hesabımı kapattırdım / savcılığa şikâyette bulundum]. Kandırılan bir kişinin aynı kandırmanın faili sayılması için en azından bunu bildiğini gösteren bir delil gerekir.</w:t>
      </w:r>
    </w:p>
    <w:p>
      <w:pPr>
        <w:jc w:val="both"/>
        <w:spacing w:after="120" w:line="276" w:lineRule="auto"/>
      </w:pPr>
      <w:r>
        <w:t xml:space="preserve">7. </w:t>
      </w:r>
      <w:r>
        <w:t xml:space="preserve">[SEÇENEK — dosyanıza uyuyorsa kullanın: kartınız, telefonunuz veya şifreniz elinizden çıktıysa] Banka kartım [gg.aa.yyyy] tarihinde [kaybolmuş / çalınmış / telefonumla birlikte elimden çıkmıştır]; [gg.aa.yyyy] tarihinde bankaya kayıp bildiriminde bulundum. Şüpheli işlemlerin yapıldığı saatte internet bankacılığına bağlanılan cihaz ve IP bilgisinin benim cihazım ve hattımla eşleşmediği, bankadan istenecek oturum kayıtlarıyla ortaya çıkacaktır.</w:t>
      </w:r>
    </w:p>
    <w:p>
      <w:pPr>
        <w:jc w:val="both"/>
        <w:spacing w:after="120" w:line="276" w:lineRule="auto"/>
      </w:pPr>
      <w:r>
        <w:t xml:space="preserve">8. </w:t>
      </w:r>
      <w:r>
        <w:rPr>
          <w:b/>
          <w:bCs/>
        </w:rPr>
        <w:t xml:space="preserve">Kaçma şüphesini gösteren somut olgu yoktur:</w:t>
      </w:r>
      <w:r>
        <w:t xml:space="preserve"> [Kaç] yıldır [il, ilçe] adresinde [ailemle] oturuyorum; [işyeri] işyerinde [gg.aa.yyyy] tarihinden beri sigortalı çalışıyorum. [Pasaportum yoktur / pasaportumu teslim etmeye hazırım.] [Hesabıma bloke konulduğunu öğrenince bankaya kendim gittim / kolluğun çağrısı üzerine kendiliğimden ifadeye gittim.] Bu tür dosyalarda dolandırıcılık şebekesinin yurt dışında olabileceği ileri sürülse de bu, benim yurt dışıyla bir bağımın bulunduğunu göstermez; kararda bana ait böyle bir olgu yazılı değildir. CMK 100/2-a kaçma şüphesini ancak somut olgulara bağlar.</w:t>
      </w:r>
    </w:p>
    <w:p>
      <w:pPr>
        <w:jc w:val="both"/>
        <w:spacing w:after="120" w:line="276" w:lineRule="auto"/>
      </w:pPr>
      <w:r>
        <w:t xml:space="preserve">9. </w:t>
      </w:r>
      <w:r>
        <w:rPr>
          <w:b/>
          <w:bCs/>
        </w:rPr>
        <w:t xml:space="preserve">Delil karartma şüphesi yoktur:</w:t>
      </w:r>
      <w:r>
        <w:t xml:space="preserve"> Bu dosyadaki deliller banka kayıtları, MASAK yazıları ve elektronik işlem dökümleridir. Bu kayıtlar bankaların ve kamu kurumlarının sistemlerinde tutulur; benim bunları değiştirmem, silmem ya da gizlemem mümkün değildir. Hesabıma CMK 128 veya 128/A uyarınca el konulmuş, cep telefonuma da el konulmuştur [el koyma tutanağı tarihi]. Banka, istenen bilgi ve belgeyi kanunen on gün içinde göndermek zorundadır (CMK 128/A-7). Müşteki ya da tanıklarla hiçbir temasım olmamıştır ve olmayacaktır. CMK 100/2-b'deki karartma şüphesi, davranışlarıma dayanan somut bir olgu gerektirir.</w:t>
      </w:r>
    </w:p>
    <w:p>
      <w:pPr>
        <w:jc w:val="both"/>
        <w:spacing w:after="120" w:line="276" w:lineRule="auto"/>
      </w:pPr>
      <w:r>
        <w:t xml:space="preserve">10. </w:t>
      </w:r>
      <w:r>
        <w:rPr>
          <w:b/>
          <w:bCs/>
        </w:rPr>
        <w:t xml:space="preserve">Nitelikli dolandırıcılık katalog suç değildir:</w:t>
      </w:r>
      <w:r>
        <w:t xml:space="preserve"> CMK 100/3, bazı suçlarda kuvvetli şüphe varsa tutuklama nedeninin var sayılabileceğini düzenler. TCK 158 bu listede yer almaz. Bu nedenle kararda kaçma veya delil karartma tehlikesinin bana özgü somut olgularla gösterilmesi zorunludur. Kararda ise suçun niteliği ve delillerin toplanmamış olması gibi her dosyaya uygulanabilecek ifadelerle yetinilmiştir. [Dosyada kısıtlama kararı varsa: TCK 158, müdafiin dosyayı incelemesinin kısıtlanabileceği suçlar arasında da sayılmamıştır (CMK 153/2); tutuklamaya esas alınan deliller tarafıma gösterilmeden savunma yapmam mümkün değildir.]</w:t>
      </w:r>
    </w:p>
    <w:p>
      <w:pPr>
        <w:jc w:val="both"/>
        <w:spacing w:after="120" w:line="276" w:lineRule="auto"/>
      </w:pPr>
      <w:r>
        <w:t xml:space="preserve">11. </w:t>
      </w:r>
      <w:r>
        <w:rPr>
          <w:b/>
          <w:bCs/>
        </w:rPr>
        <w:t xml:space="preserve">Tutuklama beklenen cezayla ölçülü değildir:</w:t>
      </w:r>
      <w:r>
        <w:t xml:space="preserve"> 7571 sayılı Kanunla nitelikli dolandırıcılık 5235 sayılı Kanunun 12. maddesindeki listeden çıkarılmıştır; TCK 158/1'in üst sınırı on yıl olduğundan dava kural olarak asliye ceza mahkemesinde görülecektir. Banka veya bilişim sisteminin araç olarak kullanıldığı hâlde hapsin alt sınırı dört yıldır (TCK 158/1 son cümle). Katkım yalnız hesap bilgilerini vermekle sınırlı kalmışsa, 7589 sayılı Kanunla eklenen TCK 158/4 uyarınca ceza yarı oranında indirilir; bu hüküm lehe olduğu için eski tarihli fiillere de uygulanır (TCK 7/2). Takdiri indirimle (TCK 62) birlikte muhtemel ceza, hükmün açıklanmasının geri bırakılması ve erteleme sınırı olan iki yılın altına inebilmektedir. [Varsa: Müştekinin zararını [gg.aa.yyyy] tarihinde ödedim; TCK 168/1 uyarınca kovuşturma başlamadan yapılan ödeme üçte ikiye kadar indirim sağlar.] Adli sicil kaydım [yoktur]. Hükümden sonra bile cezaevine girmeyebilecek bir kişinin tutuklu kalması, CMK 100/1 ikinci cümledeki ölçülülük ilkesine aykırıdır.</w:t>
      </w:r>
    </w:p>
    <w:p>
      <w:pPr>
        <w:jc w:val="both"/>
        <w:spacing w:after="120" w:line="276" w:lineRule="auto"/>
      </w:pPr>
      <w:r>
        <w:t xml:space="preserve">12. </w:t>
      </w:r>
      <w:r>
        <w:rPr>
          <w:b/>
          <w:bCs/>
        </w:rPr>
        <w:t xml:space="preserve">Adli kontrol yeterlidir:</w:t>
      </w:r>
      <w:r>
        <w:t xml:space="preserve"> Kararda adli kontrolün neden yetersiz kalacağı açıklanmamıştır. Yurt dışına çıkış yasağı (CMK 109/3-a), belirlenecek günlerde kolluğa imza vermek (109/3-b) ve gerekirse konutu terk etmeme (109/3-j) yükümlülükleri soruşturmanın amacını güvenceye alır. Mağdurun zararı yönünden de hâkimliğin belirleyeceği bir güvenceyi yatırmaya hazırım (109/3-h). Hesabıma zaten el konulmuş olduğundan aynı hesabın yeniden kullanılması da mümkün değildir. [Ayrıca adıma yeni banka hesabı açmayacağımı ve bütün kartlarımı teslim edeceğimi taahhüt ediyorum.]</w:t>
      </w:r>
    </w:p>
    <w:p>
      <w:pPr>
        <w:jc w:val="both"/>
        <w:spacing w:after="120" w:line="276" w:lineRule="auto"/>
      </w:pPr>
      <w:r>
        <w:t xml:space="preserve">13. </w:t>
      </w:r>
      <w:r>
        <w:rPr>
          <w:b/>
          <w:bCs/>
        </w:rPr>
        <w:t xml:space="preserve">Karar CMK 101/2'ye uygun gerekçe taşımamaktadır:</w:t>
      </w:r>
      <w:r>
        <w:t xml:space="preserve"> Tutuklama kararında kuvvetli suç şüphesini, tutuklama nedenini, tedbirin ölçülülüğünü ve adli kontrolün yetersizliğini gösteren deliller somut olgularla gösterilmelidir. Kararda bana ait bir olgu yerine "[kararda geçen şablon ifadeyi aynen yazın]" ifadesi kullanılmıştır. Anayasa Mahkemesinin ve Avrupa İnsan Hakları Mahkemesinin yerleşik içtihadına göre tutuklama gerekçesi kişiye özgü ve somut olmalıdır [varsa emsal karar künyesi]. Bu eksiklik tek başına kararın kaldırılmasını gerektirir.</w:t>
      </w:r>
    </w:p>
    <w:p>
      <w:pPr>
        <w:jc w:val="both"/>
        <w:spacing w:after="120" w:line="276" w:lineRule="auto"/>
      </w:pPr>
      <w:r>
        <w:t xml:space="preserve">14. </w:t>
      </w:r>
      <w:r>
        <w:t xml:space="preserve">[SEÇENEK — dosyanıza uyuyorsa kullanın: kolluk ifadesi avukatsız alındıysa] Kararda dayanılan [gg.aa.yyyy] tarihli kolluk ifademi müdafi yokken verdim ve sorguda bu ifadeyi doğrulamadım. Müdafi hazır bulunmadan kollukta alınan ifade, hâkim veya mahkeme huzurunda doğrulanmadıkça hükme esas alınamaz (CMK 148/4); hükme esas alınamayacak bir beyan tutuklamanın da dayanağı olamaz.</w:t>
      </w:r>
    </w:p>
    <w:p>
      <w:pPr>
        <w:jc w:val="both"/>
        <w:spacing w:after="120" w:line="276" w:lineRule="auto"/>
      </w:pPr>
      <w:r>
        <w:t xml:space="preserve">15. </w:t>
      </w:r>
      <w:r>
        <w:t xml:space="preserve">[SEÇENEK — dosyanıza uyuyorsa kullanın: kararda örgüt bağlantısından söz ediliyorsa] Kararda bir dolandırıcılık şebekesinden söz edilmiştir. Hakkımda suç işlemek amacıyla örgüt kurma veya üyelik isnadı (TCK 220) yoktur. Şebekeyle hiyerarşik bir bağımı, talimat aldığımı ya da başka hesaplar topladığımı gösteren bir yazışma veya tanık beyanı da yoktur. Başkalarının örgütlü hareket ettiği iddiası, bana ait somut bir tutuklama nedeni yerine geçemez.</w:t>
      </w:r>
    </w:p>
    <w:p>
      <w:pPr>
        <w:jc w:val="both"/>
        <w:spacing w:after="120" w:line="276" w:lineRule="auto"/>
      </w:pPr>
      <w:r>
        <w:t xml:space="preserve">16. </w:t>
      </w:r>
      <w:r>
        <w:rPr>
          <w:b/>
          <w:bCs/>
        </w:rPr>
        <w:t xml:space="preserve">Kişisel durumum:</w:t>
      </w:r>
      <w:r>
        <w:t xml:space="preserve"> [Bakmakla yükümlü olduğum eşim ve .. yaşındaki çocuklarım / tedavisi süren hastalığım / sınav dönemindeki eğitimim / işimi kaybetme tehlikesi] ekteki belgelerle sabittir. Tutukluluğum sürerse [işten çıkarılma / eğitimin kesilmesi] gibi telafisi güç sonuçlar doğacaktır.</w:t>
      </w:r>
    </w:p>
    <w:p>
      <w:pPr>
        <w:jc w:val="both"/>
        <w:spacing w:after="120" w:line="276" w:lineRule="auto"/>
      </w:pPr>
      <w:r>
        <w:rPr>
          <w:b/>
          <w:bCs/>
        </w:rPr>
        <w:t xml:space="preserve">HUKUKİ NEDENLER:</w:t>
      </w:r>
      <w:r>
        <w:t xml:space="preserve"> Anayasa m. 19; Avrupa İnsan Hakları Sözleşmesi m. 5; 5271 sayılı CMK m. 100, 101, 109, 128/A, 148, 153, 263, 268, 270, 271; 5237 sayılı TCK m. 7, 21, 62, 157, 158, 168; 5235 sayılı Kanun m. 12; [varsa emsal karar künyesi].</w:t>
      </w:r>
    </w:p>
    <w:p>
      <w:pPr>
        <w:jc w:val="both"/>
        <w:spacing w:after="120" w:line="276" w:lineRule="auto"/>
      </w:pPr>
      <w:r>
        <w:rPr>
          <w:b/>
          <w:bCs/>
        </w:rPr>
        <w:t xml:space="preserve">DELİLLER:</w:t>
      </w:r>
      <w:r>
        <w:t xml:space="preserve"> Soruşturma dosyası, banka hesap dökümü, [MASAK yazısı], müşteki ifadeleri, [HTS kaydı], [iş ilanı ve yazışma ekran görüntüleri], [kayıp bildirimi veya şikâyet dilekçem], [ödeme dekontu], yerleşim yeri belgesi, SGK hizmet dökümü, adli sicil kaydı ve her türlü yasal delil.</w:t>
      </w:r>
    </w:p>
    <w:p>
      <w:pPr>
        <w:jc w:val="both"/>
        <w:spacing w:after="120" w:line="276" w:lineRule="auto"/>
      </w:pPr>
      <w:r>
        <w:rPr>
          <w:b/>
          <w:bCs/>
        </w:rPr>
        <w:t xml:space="preserve">SONUÇ VE İSTEM:</w:t>
      </w:r>
      <w:r>
        <w:t xml:space="preserve"> Yukarıda açıklanan ve resen gözetilecek nedenlerle;</w:t>
      </w:r>
    </w:p>
    <w:p>
      <w:pPr>
        <w:jc w:val="both"/>
        <w:spacing w:after="120" w:line="276" w:lineRule="auto"/>
      </w:pPr>
      <w:r>
        <w:t xml:space="preserve">1. </w:t>
      </w:r>
      <w:r>
        <w:t xml:space="preserve">İtirazımın yerinde görülerek kararın düzeltilmesine ve TAHLİYEME (CMK 268/2),</w:t>
      </w:r>
    </w:p>
    <w:p>
      <w:pPr>
        <w:jc w:val="both"/>
        <w:spacing w:after="120" w:line="276" w:lineRule="auto"/>
      </w:pPr>
      <w:r>
        <w:t xml:space="preserve">2. </w:t>
      </w:r>
      <w:r>
        <w:t xml:space="preserve">Karar düzeltilmezse dosyanın itirazı incelemeye yetkili mercie gönderilmesine, itirazımın kabulü ile tutuklama kararının kaldırılarak TAHLİYEME,</w:t>
      </w:r>
    </w:p>
    <w:p>
      <w:pPr>
        <w:jc w:val="both"/>
        <w:spacing w:after="120" w:line="276" w:lineRule="auto"/>
      </w:pPr>
      <w:r>
        <w:t xml:space="preserve">3. </w:t>
      </w:r>
      <w:r>
        <w:t xml:space="preserve">Tahliyem yerinde görülmezse terditli olarak CMK 109/3-a uyarınca yurt dışına çıkış yasağı, 109/3-b uyarınca [haftada .. gün] kolluğa imza yükümlülüğü, gerekirse 109/3-h uyarınca belirlenecek güvence ve 109/3-j uyarınca konutu terk etmeme yükümlülüklerinden uygun görülenler uygulanarak SALIVERİLMEME,</w:t>
      </w:r>
    </w:p>
    <w:p>
      <w:pPr>
        <w:jc w:val="both"/>
        <w:spacing w:after="120" w:line="276" w:lineRule="auto"/>
      </w:pPr>
      <w:r>
        <w:t xml:space="preserve">4. </w:t>
      </w:r>
      <w:r>
        <w:t xml:space="preserve">CMK 271/1 uyarınca gerekli görülmesi hâlinde müdafiimin dinlenmesine; itiraz hakkında Cumhuriyet savcısının görüşü alınırsa bu görüşün tarafıma bildirilmesine (CMK 270/2),</w:t>
      </w:r>
    </w:p>
    <w:p>
      <w:pPr>
        <w:jc w:val="both"/>
        <w:spacing w:after="120" w:line="276" w:lineRule="auto"/>
      </w:pPr>
      <w:r>
        <w:t xml:space="preserve">5. </w:t>
      </w:r>
      <w:r>
        <w:t xml:space="preserve">İtirazımın reddi hâlinde kararın CMK 101/2'de sayılan dört başlığı somut olgularla gösteren gerekçe içermesine,</w:t>
      </w:r>
    </w:p>
    <w:p>
      <w:pPr>
        <w:jc w:val="both"/>
        <w:spacing w:after="120" w:line="276" w:lineRule="auto"/>
      </w:pPr>
      <w:r>
        <w:t xml:space="preserve">karar verilmesini saygıyla arz ve talep ederim.</w:t>
      </w:r>
    </w:p>
    <w:p>
      <w:pPr>
        <w:jc w:val="right"/>
        <w:spacing w:after="120" w:line="276" w:lineRule="auto"/>
      </w:pPr>
      <w:r>
        <w:t xml:space="preserve">[gg.aa.yyyy]</w:t>
      </w:r>
    </w:p>
    <w:p>
      <w:pPr>
        <w:jc w:val="right"/>
        <w:spacing w:after="120" w:line="276" w:lineRule="auto"/>
      </w:pPr>
      <w:r>
        <w:t xml:space="preserve">İtiraz Eden [Şüpheli / Sanık]</w:t>
      </w:r>
    </w:p>
    <w:p>
      <w:pPr>
        <w:jc w:val="right"/>
        <w:spacing w:after="120" w:line="276" w:lineRule="auto"/>
      </w:pPr>
      <w:r>
        <w:t xml:space="preserve">[Ad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[Tutuklama kararının örneği]</w:t>
      </w:r>
    </w:p>
    <w:p>
      <w:pPr>
        <w:jc w:val="both"/>
        <w:spacing w:after="120" w:line="276" w:lineRule="auto"/>
      </w:pPr>
      <w:r>
        <w:t xml:space="preserve">2. </w:t>
      </w:r>
      <w:r>
        <w:t xml:space="preserve">[Banka hesap dökümü ve varsa kayıp bildirimi]</w:t>
      </w:r>
    </w:p>
    <w:p>
      <w:pPr>
        <w:jc w:val="both"/>
        <w:spacing w:after="120" w:line="276" w:lineRule="auto"/>
      </w:pPr>
      <w:r>
        <w:t xml:space="preserve">3. </w:t>
      </w:r>
      <w:r>
        <w:t xml:space="preserve">[Yazışma ve ilan ekran görüntüleri, kendi şikâyet dilekçeniz]</w:t>
      </w:r>
    </w:p>
    <w:p>
      <w:pPr>
        <w:jc w:val="both"/>
        <w:spacing w:after="120" w:line="276" w:lineRule="auto"/>
      </w:pPr>
      <w:r>
        <w:t xml:space="preserve">4. </w:t>
      </w:r>
      <w:r>
        <w:t xml:space="preserve">[Ödeme dekontu ve müşteki beyanı]</w:t>
      </w:r>
    </w:p>
    <w:p>
      <w:pPr>
        <w:jc w:val="both"/>
        <w:spacing w:after="120" w:line="276" w:lineRule="auto"/>
      </w:pPr>
      <w:r>
        <w:t xml:space="preserve">5. </w:t>
      </w:r>
      <w:r>
        <w:t xml:space="preserve">[Yerleşim yeri belgesi, SGK hizmet dökümü veya işveren yazısı]</w:t>
      </w:r>
    </w:p>
    <w:p>
      <w:pPr>
        <w:jc w:val="both"/>
        <w:spacing w:after="120" w:line="276" w:lineRule="auto"/>
      </w:pPr>
      <w:r>
        <w:t xml:space="preserve">6. </w:t>
      </w:r>
      <w:r>
        <w:t xml:space="preserve">[Nüfus kayıt örneği, sağlık raporu, öğrenci belgesi]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