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 [İL] [NO]. ASLİYE CEZA MAHKEMESİNE / [İL] [NO]. AĞIR CEZA MAHKEMESİ BAŞKANLIĞINA</w:t>
      </w:r>
    </w:p>
    <w:p>
      <w:pPr>
        <w:jc w:val="center"/>
        <w:spacing w:after="120" w:line="276" w:lineRule="auto"/>
      </w:pPr>
      <w:r>
        <w:t xml:space="preserve">[Kararı sulh ceza hâkimliği verdiyse: İl Asliye Ceza Mahkemesi Hâkimliğine / asliye ceza mahkemesi verdiyse: İl Ağır Ceza Mahkemesine / ağır ceza mahkemesi verdiyse: numara olarak izleyen Ağır Ceza Mahkemesine] gönderilmek üzere</w:t>
      </w:r>
    </w:p>
    <w:p>
      <w:pPr>
        <w:jc w:val="both"/>
        <w:spacing w:after="120" w:line="276" w:lineRule="auto"/>
      </w:pPr>
      <w:r>
        <w:rPr>
          <w:b/>
          <w:bCs/>
        </w:rPr>
        <w:t xml:space="preserve">KARAR SAYISI:</w:t>
      </w:r>
      <w:r>
        <w:t xml:space="preserve"> [yıl/sayı] D. İş (soruşturma) / [yıl/sayı] Esas (kovuşturma)</w:t>
      </w:r>
    </w:p>
    <w:p>
      <w:pPr>
        <w:jc w:val="both"/>
        <w:spacing w:after="120" w:line="276" w:lineRule="auto"/>
      </w:pPr>
      <w:r>
        <w:rPr>
          <w:b/>
          <w:bCs/>
        </w:rPr>
        <w:t xml:space="preserve">SORUŞTURMA NO:</w:t>
      </w:r>
      <w:r>
        <w:t xml:space="preserve"> [yıl/sayı]</w:t>
      </w:r>
    </w:p>
    <w:p>
      <w:pPr>
        <w:jc w:val="both"/>
        <w:spacing w:after="120" w:line="276" w:lineRule="auto"/>
      </w:pPr>
      <w:r>
        <w:rPr>
          <w:b/>
          <w:bCs/>
        </w:rPr>
        <w:t xml:space="preserve">İTİRAZ EDEN [ŞÜPHELİ / SANIK]:</w:t>
      </w:r>
      <w:r>
        <w:t xml:space="preserve"> [Ad Soyad], T.C. Kimlik No: [...........]</w:t>
      </w:r>
    </w:p>
    <w:p>
      <w:pPr>
        <w:jc w:val="both"/>
        <w:spacing w:after="120" w:line="276" w:lineRule="auto"/>
      </w:pPr>
      <w:r>
        <w:t xml:space="preserve">Hâlen [...] Ceza İnfaz Kurumunda tutuklu</w:t>
      </w:r>
    </w:p>
    <w:p>
      <w:pPr>
        <w:jc w:val="both"/>
        <w:spacing w:after="120" w:line="276" w:lineRule="auto"/>
      </w:pPr>
      <w:r>
        <w:t xml:space="preserve">[varsa: MÜDAFİİ: Av. Ad Soyad, baro ve sicil no]</w:t>
      </w:r>
    </w:p>
    <w:p>
      <w:pPr>
        <w:jc w:val="both"/>
        <w:spacing w:after="120" w:line="276" w:lineRule="auto"/>
      </w:pPr>
      <w:r>
        <w:rPr>
          <w:b/>
          <w:bCs/>
        </w:rPr>
        <w:t xml:space="preserve">MAĞDUR:</w:t>
      </w:r>
      <w:r>
        <w:t xml:space="preserve"> [Dosyadaki gösterimle; mağdur çocuksa yalnız adının ve soyadının baş harfleri]</w:t>
      </w:r>
    </w:p>
    <w:p>
      <w:pPr>
        <w:jc w:val="both"/>
        <w:spacing w:after="120" w:line="276" w:lineRule="auto"/>
      </w:pPr>
      <w:r>
        <w:rPr>
          <w:b/>
          <w:bCs/>
        </w:rPr>
        <w:t xml:space="preserve">İSNAT EDİLEN SUÇ:</w:t>
      </w:r>
      <w:r>
        <w:t xml:space="preserve"> [TCK 102/1, 102/2, 103/1 veya 103/2; varsa nitelikli hâl fıkrası ve bendi]</w:t>
      </w:r>
    </w:p>
    <w:p>
      <w:pPr>
        <w:jc w:val="both"/>
        <w:spacing w:after="120" w:line="276" w:lineRule="auto"/>
      </w:pPr>
      <w:r>
        <w:rPr>
          <w:b/>
          <w:bCs/>
        </w:rPr>
        <w:t xml:space="preserve">İTİRAZ EDİLEN KARAR:</w:t>
      </w:r>
      <w:r>
        <w:t xml:space="preserve"> [gg.aa.yyyy] tarihli tutuklama kararı</w:t>
      </w:r>
    </w:p>
    <w:p>
      <w:pPr>
        <w:jc w:val="both"/>
        <w:spacing w:after="120" w:line="276" w:lineRule="auto"/>
      </w:pPr>
      <w:r>
        <w:rPr>
          <w:b/>
          <w:bCs/>
        </w:rPr>
        <w:t xml:space="preserve">KARARIN ÖĞRENİLDİĞİ TARİH:</w:t>
      </w:r>
      <w:r>
        <w:t xml:space="preserve"> [gg.aa.yyyy] (sorguda yüze karşı açıklandı)</w:t>
      </w:r>
    </w:p>
    <w:p>
      <w:pPr>
        <w:jc w:val="both"/>
        <w:spacing w:after="120" w:line="276" w:lineRule="auto"/>
      </w:pPr>
      <w:r>
        <w:rPr>
          <w:b/>
          <w:bCs/>
        </w:rPr>
        <w:t xml:space="preserve">KONU:</w:t>
      </w:r>
      <w:r>
        <w:t xml:space="preserve"> Kuvvetli suç şüphesi ve tutuklama nedeni somut olgularla gösterilmeden verilen tutuklama kararının kaldırılması, bu mümkün görülmezse mağdurun güvenliğini sağlayacak adli kontrol yükümlülükleriyle salıverilmem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Sürenin içinde olduğumuz:</w:t>
      </w:r>
      <w:r>
        <w:t xml:space="preserve"> [gg.aa.yyyy] tarihinde gözaltına alındım; [gg.aa.yyyy] tarihinde sorgum yapılarak tutuklanmama karar verildi. Karar bana sorgu sırasında açıklandı. CMK 268/1'deki iki haftalık süre [gg.aa.yyyy] tarihinde dolmaktadır; itirazım süresindedir.</w:t>
      </w:r>
    </w:p>
    <w:p>
      <w:pPr>
        <w:jc w:val="both"/>
        <w:spacing w:after="120" w:line="276" w:lineRule="auto"/>
      </w:pPr>
      <w:r>
        <w:t xml:space="preserve">2. </w:t>
      </w:r>
      <w:r>
        <w:rPr>
          <w:b/>
          <w:bCs/>
        </w:rPr>
        <w:t xml:space="preserve">Kuvvetli suç şüphesini gösteren somut delil yoktur:</w:t>
      </w:r>
      <w:r>
        <w:t xml:space="preserve"> TCK 102 ve 103, cinsel amaçlı bir davranışla mağdurun bedenine yönelen bir temas arar. Organ veya cisim sokma iddiası (102/2, 103/2) bunun yanında ayrı bir bulgu, çocuğun cinsel istismarı ise mağdurun suç tarihinde on sekiz yaşını doldurmamış olmasını gerektirir. Kararda bu unsurların her biri yalnız mağdurun [kolluk / savcılık] anlatımına bağlanmıştır. Anlatımı destekleyen [adli muayene bulgusu / kamera kaydı / mesaj / olaydan hemen sonra anlatım yapılan tanık] dosyada bulunmamaktadır. [varsa: Olay saatinde başka bir yerde olduğumu gösteren HTS kaydı, iş yeri giriş çıkış kaydı veya fatura ise kararda hiç değerlendirilmemiştir.] Bu tespit mağdurun kişiliğine yönelik değildir; tutuklama için CMK 100/1'in aradığı somut delil eşiğine ilişkindir.</w:t>
      </w:r>
    </w:p>
    <w:p>
      <w:pPr>
        <w:jc w:val="both"/>
        <w:spacing w:after="120" w:line="276" w:lineRule="auto"/>
      </w:pPr>
      <w:r>
        <w:t xml:space="preserve">3. </w:t>
      </w:r>
      <w:r>
        <w:rPr>
          <w:b/>
          <w:bCs/>
        </w:rPr>
        <w:t xml:space="preserve">Kaçma şüphesini gösteren bir olgu yoktur:</w:t>
      </w:r>
      <w:r>
        <w:t xml:space="preserve"> [Kaç] yıldır [il, ilçe] adresinde [eşim, çocuklarım / annem ve babam] ile oturuyorum. [İş yeri adı] iş yerinde [tarih] tarihinden beri sigortalı çalışıyorum. Pasaportum [yoktur / teslim edilmeye hazırdır]. Hakkımdaki şikâyeti öğrendiğim gün [kendiliğimden karakola giderek ifade verdim / evimde bulunuyordum, kaçmaya yönelik hiçbir davranışım olmadı]. İsnadın ağırlığı tek başına kaçma şüphesi doğurmaz; CMK 100/2-a kaçmayı gösteren somut bir olgu arar.</w:t>
      </w:r>
    </w:p>
    <w:p>
      <w:pPr>
        <w:jc w:val="both"/>
        <w:spacing w:after="120" w:line="276" w:lineRule="auto"/>
      </w:pPr>
      <w:r>
        <w:t xml:space="preserve">4. </w:t>
      </w:r>
      <w:r>
        <w:rPr>
          <w:b/>
          <w:bCs/>
        </w:rPr>
        <w:t xml:space="preserve">Delil karartma ve mağdur üzerinde baskı tehlikesi somut değildir:</w:t>
      </w:r>
      <w:r>
        <w:t xml:space="preserve"> Mağdurun anlatımı [gg.aa.yyyy] tarihinde [çocuk izlem merkezinde / adli görüşme odasında / savcılıkta] uzman eşliğinde alınmış ve [kayda geçirilmiştir]. Suçun etkisiyle psikolojisi bozulmuş mağdur kural olarak bir defa dinlenir (CMK 236/2); kayıt altındaki bir beyanı benim değiştirmem mümkün değildir. Telefonuma [gg.aa.yyyy] tarihinde el konulmuş, [adli muayene / biyolojik örnek alma / olay yerinin incelenmesi] işlemleri tamamlanmıştır. Mağdurla ve ailesiyle hiçbir iletişim kurmadım. Bunun bir adli kontrol yükümlülüğü olarak bağlanmasını şimdiden kabul ediyorum.</w:t>
      </w:r>
    </w:p>
    <w:p>
      <w:pPr>
        <w:jc w:val="both"/>
        <w:spacing w:after="120" w:line="276" w:lineRule="auto"/>
      </w:pPr>
      <w:r>
        <w:t xml:space="preserve">5. </w:t>
      </w:r>
      <w:r>
        <w:rPr>
          <w:b/>
          <w:bCs/>
        </w:rPr>
        <w:t xml:space="preserve">Katalogda yer alan suçta bile karine kendiliğinden işlemez:</w:t>
      </w:r>
      <w:r>
        <w:t xml:space="preserve"> CMK 100/3, katalog suçlarda tutuklama nedenini ancak "somut delillere dayanan kuvvetli şüphe sebeplerinin varlığı hâlinde" var sayar. Dolayısıyla 102/2 ve 103 isnadında da önce kuvvetli şüphenin somut delille kurulması gerekir. [Organ sokma nitelendirmesi yapıldıysa: Bu ağır hâli gösteren adli tıp bulgusu dosyada yoktur; muayene [yapılmamıştır / raporda bu yönde bulgu bulunmamaktadır / rapor henüz gelmemiştir].] Henüz desteklenmemiş ağır bir nitelendirme üzerinden katalog karinesine dayanılması, ispat yükünü tersine çevirir.</w:t>
      </w:r>
    </w:p>
    <w:p>
      <w:pPr>
        <w:jc w:val="both"/>
        <w:spacing w:after="120" w:line="276" w:lineRule="auto"/>
      </w:pPr>
      <w:r>
        <w:t xml:space="preserve">6. </w:t>
      </w:r>
      <w:r>
        <w:rPr>
          <w:b/>
          <w:bCs/>
        </w:rPr>
        <w:t xml:space="preserve">Tutuklama ölçülü değildir:</w:t>
      </w:r>
      <w:r>
        <w:t xml:space="preserve"> Ölçülülük, suçun adıyla değil, dosyadaki delilin gösterdiği muhtemel sonuçla tartılır. Adli sicil kaydım [yoktur / ektedir]. Mağdurun kendi anlatımına göre bile eylem [tek ve anlık bir dokunma] olarak kalmaktadır; bu hâlde tartışılacak olan [TCK 102/1 ikinci cümlesindeki sarkıntılık (iki ila beş yıl) / TCK 103/1 ikinci cümlesindeki sarkıntılık (üç ila sekiz yıl)] hükmüdür. Tutuklulukta geçen süre mahkûmiyet hâlinde cezadan indirilir (TCK 63/1); beraat hâlinde ise geri verilemeyecek bir özgürlük kaybı olarak kalır. [Sağlık sorunum / bakmakla yükümlü olduğum kişiler / iş kaybı tehlikesi] ekteki belgelerle sabittir.</w:t>
      </w:r>
    </w:p>
    <w:p>
      <w:pPr>
        <w:jc w:val="both"/>
        <w:spacing w:after="120" w:line="276" w:lineRule="auto"/>
      </w:pPr>
      <w:r>
        <w:t xml:space="preserve">7. </w:t>
      </w:r>
      <w:r>
        <w:rPr>
          <w:b/>
          <w:bCs/>
        </w:rPr>
        <w:t xml:space="preserve">Adli kontrol mağdurun korunması için yeterlidir:</w:t>
      </w:r>
      <w:r>
        <w:t xml:space="preserve"> Kararda adli kontrolün neden yetersiz kalacağı tartışılmamıştır. Mağdurun güvenliği; mağdurun konutuna, okuluna ve iş yerine gitmeme (CMK 109/3-l), [il/ilçe] yerleşim bölgesini terk etmeme (109/3-k), yurt dışına çıkamama (109/3-a) ve belirlenecek günlerde kolluğa başvurma (109/3-b) yükümlülükleriyle sağlanabilir. Gerekirse konutu terk etmeme yükümlülüğü (109/3-j) de uygulanabilir; konutu ve belirlenen yerleri terk etmeme ya da bu yerlere gitmeme yükümlülüklerinin elektronik izlemeyle denetlenmesine de itirazım yoktur. Yükümlülüklere aykırı davranmam hâlinde cezanın süresine bakılmaksızın yeniden tutuklanabileceğimi biliyorum (CMK 112/1).</w:t>
      </w:r>
    </w:p>
    <w:p>
      <w:pPr>
        <w:jc w:val="both"/>
        <w:spacing w:after="120" w:line="276" w:lineRule="auto"/>
      </w:pPr>
      <w:r>
        <w:t xml:space="preserve">8. </w:t>
      </w:r>
      <w:r>
        <w:rPr>
          <w:b/>
          <w:bCs/>
        </w:rPr>
        <w:t xml:space="preserve">Karar CMK 101/2'nin aradığı gerekçeyi taşımamaktadır:</w:t>
      </w:r>
      <w:r>
        <w:t xml:space="preserve"> Karar "suçun niteliği", "mağdurun yaşı", "delillerin henüz toplanmamış olması" ve "kamuoyunda oluşan tepki" gibi her cinsel suç dosyasına yazılabilecek ifadelerle kurulmuştur. CMK 101/2; kuvvetli şüphenin, tutuklama nedeninin, ölçülülüğün ve adli kontrolün yetersizliğinin dosyaya özgü olgularla gösterilmesini emreder. Toplumsal tepki, CMK 100'de sayılan tutuklama nedenlerinden biri değildir. Anayasa Mahkemesi ve Avrupa İnsan Hakları Mahkemesi içtihadında da özgürlükten yoksun bırakmanın kalıp ifadelerle değil, somut olgularla gerekçelendirilmesi aranır. [varsa emsal karar künyesi]</w:t>
      </w:r>
    </w:p>
    <w:p>
      <w:pPr>
        <w:jc w:val="both"/>
        <w:spacing w:after="120" w:line="276" w:lineRule="auto"/>
      </w:pPr>
      <w:r>
        <w:t xml:space="preserve">9. </w:t>
      </w:r>
      <w:r>
        <w:t xml:space="preserve">[SEÇENEK — dosyanıza uyuyorsa kullanın: isnat yalnız TCK 102/1 ise ve 102/3 nitelikli hâli uygulanmamışsa] İsnat edilen eylem cinsel saldırının temel hâlidir. CMK 100/3-a-6, cinsel saldırıyı "birinci fıkra hariç" diyerek kataloğa almıştır. Bu dosyada tutuklama nedeni var sayılamaz; kaçma veya karartma tehlikesinin ayrıca somut olgularla gösterilmesi gerekirdi. Kararda böyle bir olgu yoktur. Ayrıca suç mağdurun şikâyetine bağlıdır; dosyanın sonucu şikâyetin varlığına göre de değişebilecektir.</w:t>
      </w:r>
    </w:p>
    <w:p>
      <w:pPr>
        <w:jc w:val="both"/>
        <w:spacing w:after="120" w:line="276" w:lineRule="auto"/>
      </w:pPr>
      <w:r>
        <w:t xml:space="preserve">10. </w:t>
      </w:r>
      <w:r>
        <w:t xml:space="preserve">[SEÇENEK — dosyanıza uyuyorsa kullanın: mağdurun yaşı ya da yaşın bilinmesi tartışmalıysa] Çocuğun cinsel istismarı, failin mağdurun yaşını bilmesini gerektirir. Mağdur kendini [...] yaşında tanıtmıştır; [sosyal medya profilinde ... yaşı yazmaktadır / tanıştığımız yer yalnız yetişkinlere açıktır]. Suçun maddi unsurunu bilmeyen kişi kasten hareket etmiş olmaz (TCK 30/1); daha ağır nitelikli hâlde hataya düşen kişi bu hatasından yararlanır (TCK 30/2). Mağdur on beş yaşını tamamlamış, fiilin hukuki anlam ve sonuçlarını algılama yeteneği gelişmişse ve cebir, tehdit, hile veya iradeyi etkileyen başka bir neden iddiası bulunmuyorsa eylem TCK 103 değil, cinsel ilişki varsa şikâyete bağlı ve katalog dışı TCK 104/1 kapsamında tartışılır. Bu nitelendirme belirsizliği kuvvetli şüphenin bulunmadığını gösterir.</w:t>
      </w:r>
    </w:p>
    <w:p>
      <w:pPr>
        <w:jc w:val="both"/>
        <w:spacing w:after="120" w:line="276" w:lineRule="auto"/>
      </w:pPr>
      <w:r>
        <w:t xml:space="preserve">11. </w:t>
      </w:r>
      <w:r>
        <w:t xml:space="preserve">[SEÇENEK — dosyanıza uyuyorsa kullanın: organ sokma iddiası rapora dayanmıyorsa] [gg.aa.yyyy] tarihli adli muayene raporunda [vücuda organ veya cisim sokulduğunu gösteren bir bulgu yoktur / bulgunun eski tarihli olduğu belirtilmiştir / muayene olaydan ... gün sonra yapılmıştır]. Biyolojik örnekler [alınmamıştır / incelenmesi sürmektedir]. TCK 102/2 ve 103/2'deki ağır hâl ayrıca ispat ister; bu ispat yokken alt sınırı on iki ya da on altı yıl olan bir suçun cezası esas alınarak ölçülülük değerlendirmesi yapılamaz.</w:t>
      </w:r>
    </w:p>
    <w:p>
      <w:pPr>
        <w:jc w:val="both"/>
        <w:spacing w:after="120" w:line="276" w:lineRule="auto"/>
      </w:pPr>
      <w:r>
        <w:t xml:space="preserve">12. </w:t>
      </w:r>
      <w:r>
        <w:t xml:space="preserve">[SEÇENEK — dosyanıza uyuyorsa kullanın: bedensel temas yoksa ya da anlık bir dokunma anlatılıyorsa] Anlatıma göre mağdurun bedenine [hiç temas edilmemiştir]. Temas yoksa eylem TCK 102 veya 103 değil, TCK 105 kapsamında cinsel taciz olarak tartışılır. [Anlık bir dokunma anlatılıyorsa bu paragrafı değil, ölçülülük paragrafındaki sarkıntılık seçeneğini kullanın.]. Mağdur yetişkinse ve 105/2'deki nitelikli hâllerden biri yoksa 105/1'deki ceza üç aydan iki yıla kadar hapis veya adli para cezasıdır; vücut dokunulmazlığına karşı işlenmiş bir suç da söz konusu olmadığından CMK 100/4 uyarınca tutuklama kararı verilemez.</w:t>
      </w:r>
    </w:p>
    <w:p>
      <w:pPr>
        <w:jc w:val="both"/>
        <w:spacing w:after="120" w:line="276" w:lineRule="auto"/>
      </w:pPr>
      <w:r>
        <w:t xml:space="preserve">13. </w:t>
      </w:r>
      <w:r>
        <w:t xml:space="preserve">[SEÇENEK — dosyanıza uyuyorsa kullanın: mağdurla aynı konutta yaşıyorsanız ya da aile içi ilişki varsa] Mağdurla aynı evde yaşadığım için tutuklandığım anlaşılmaktadır. Salıverilmem hâlinde [akrabam ... / kiraladığım ...] adresinde, mağdurun konutundan ayrı olarak oturacağım; kira sözleşmesi ve ev sahibinin yazılı beyanı ektedir. Bu adres konutu terk etmeme veya yerleşim bölgesini terk etmeme yükümlülüğünde esas alınabilir. [varsa: Hakkımda [gg.aa.yyyy] tarihinde 6284 sayılı Kanun uyarınca verilen uzaklaştırma tedbirine bugüne kadar eksiksiz uydum.]</w:t>
      </w:r>
    </w:p>
    <w:p>
      <w:pPr>
        <w:jc w:val="both"/>
        <w:spacing w:after="120" w:line="276" w:lineRule="auto"/>
      </w:pPr>
      <w:r>
        <w:t xml:space="preserve">14. </w:t>
      </w:r>
      <w:r>
        <w:t xml:space="preserve">[SEÇENEK — dosyanıza uyuyorsa kullanın: isnat mesaj, fotoğraf veya görüntüye dayanıyorsa] Dosyadaki ekran görüntüleri mesajın hangi hesaptan, kimin tarafından ve hangi tarihte gönderildiğini teknik olarak göstermemektedir. Telefonum [gg.aa.yyyy] tarihinden beri emanettedir ve [imajı alınmıştır]. İnceleme bilirkişiye verildiğine göre dijital delili değiştirme imkânım yoktur; karartma gerekçesi bu yönden de dayanaksızdır.</w:t>
      </w:r>
    </w:p>
    <w:p>
      <w:pPr>
        <w:jc w:val="both"/>
        <w:spacing w:after="120" w:line="276" w:lineRule="auto"/>
      </w:pPr>
      <w:r>
        <w:t xml:space="preserve">15. </w:t>
      </w:r>
      <w:r>
        <w:t xml:space="preserve">[SEÇENEK — dosyanıza uyuyorsa kullanın: suç tarihinde on beş yaşını doldurmamışsanız] Suç tarihinde on beş yaşını doldurmamıştım. İsnat edilen eylemin cezasının üst sınırı beş yılı aşmıyorsa (ör. TCK 102/1 ikinci cümle) 5395 sayılı Kanun m. 21/1 uyarınca tutuklama yasağı vardır; aşıyorsa da tutukluluk süreleri kısaltılmış uygulanır (CMK 102/5).</w:t>
      </w:r>
    </w:p>
    <w:p>
      <w:pPr>
        <w:jc w:val="both"/>
        <w:spacing w:after="120" w:line="276" w:lineRule="auto"/>
      </w:pPr>
      <w:r>
        <w:rPr>
          <w:b/>
          <w:bCs/>
        </w:rPr>
        <w:t xml:space="preserve">HUKUKİ NEDENLER:</w:t>
      </w:r>
      <w:r>
        <w:t xml:space="preserve"> Anayasa m. 19; Avrupa İnsan Hakları Sözleşmesi m. 5; CMK m. 100, 101, 102, 109, 112, 236, 262, 263, 268, 270, 271; TCK m. 30, 63, 102, 103, [104, 105]; [varsa: 5395 sayılı Kanun m. 21]; [varsa emsal karar künyesi].</w:t>
      </w:r>
    </w:p>
    <w:p>
      <w:pPr>
        <w:jc w:val="both"/>
        <w:spacing w:after="120" w:line="276" w:lineRule="auto"/>
      </w:pPr>
      <w:r>
        <w:rPr>
          <w:b/>
          <w:bCs/>
        </w:rPr>
        <w:t xml:space="preserve">DELİLLER:</w:t>
      </w:r>
      <w:r>
        <w:t xml:space="preserve"> Soruşturma dosyası, mağdur beyanının alındığı tarih ve tutanak, [adli muayene ve biyolojik inceleme raporları], [HTS ve baz kayıtları], [kamera kayıtları], yerleşim yeri belgesi, SGK hizmet dökümü, adli sicil kaydı, [kira sözleşmesi ve yeni adres belgesi], [sağlık raporu], her türlü yasal delil.</w:t>
      </w:r>
    </w:p>
    <w:p>
      <w:pPr>
        <w:jc w:val="both"/>
        <w:spacing w:after="120" w:line="276" w:lineRule="auto"/>
      </w:pPr>
      <w:r>
        <w:rPr>
          <w:b/>
          <w:bCs/>
        </w:rPr>
        <w:t xml:space="preserve">SONUÇ VE İSTEM:</w:t>
      </w:r>
      <w:r>
        <w:t xml:space="preserve"> Yukarıda açıklanan ve resen gözetilecek nedenlerle;</w:t>
      </w:r>
    </w:p>
    <w:p>
      <w:pPr>
        <w:jc w:val="both"/>
        <w:spacing w:after="120" w:line="276" w:lineRule="auto"/>
      </w:pPr>
      <w:r>
        <w:t xml:space="preserve">1. </w:t>
      </w:r>
      <w:r>
        <w:t xml:space="preserve">Kararın itiraz doğrultusunda düzeltilmesine (CMK 268/2), düzeltilmezse dosyanın inceleme merciine gönderilerek tutuklama kararının kaldırılmasına ve TAHLİYEME,</w:t>
      </w:r>
    </w:p>
    <w:p>
      <w:pPr>
        <w:jc w:val="both"/>
        <w:spacing w:after="120" w:line="276" w:lineRule="auto"/>
      </w:pPr>
      <w:r>
        <w:t xml:space="preserve">2. </w:t>
      </w:r>
      <w:r>
        <w:t xml:space="preserve">Bu talep yerinde görülmezse, terditli olarak CMK 109/3 uyarınca mağdurun konutuna, okuluna ve iş yerine gitmeme, [il/ilçe] yerleşim bölgesini terk etmeme, yurt dışına çıkamama ve haftada [...] gün kolluğa imza, gerekirse konutu terk etmeme yükümlülüklerinden uygun görülenler uygulanarak ADLİ KONTROL altında salıverilmeme,</w:t>
      </w:r>
    </w:p>
    <w:p>
      <w:pPr>
        <w:jc w:val="both"/>
        <w:spacing w:after="120" w:line="276" w:lineRule="auto"/>
      </w:pPr>
      <w:r>
        <w:t xml:space="preserve">3. </w:t>
      </w:r>
      <w:r>
        <w:t xml:space="preserve">CMK 271/1 uyarınca gerekli görülmesi hâlinde itiraz incelemesinde müdafiimin dinlenmesine; Cumhuriyet savcısından görüş alınırsa bu görüşün tarafıma bildirilmesine (CMK 270/2),</w:t>
      </w:r>
    </w:p>
    <w:p>
      <w:pPr>
        <w:jc w:val="both"/>
        <w:spacing w:after="120" w:line="276" w:lineRule="auto"/>
      </w:pPr>
      <w:r>
        <w:t xml:space="preserve">4. </w:t>
      </w:r>
      <w:r>
        <w:t xml:space="preserve">İtirazın reddi hâlinde kararın CMK 101/2'ye uygun, dosyaya özgü gerekçe içermesine ve bir örneğinin tarafıma verilmesine,</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İtiraz Eden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Tutuklama kararının örneği</w:t>
      </w:r>
    </w:p>
    <w:p>
      <w:pPr>
        <w:jc w:val="both"/>
        <w:spacing w:after="120" w:line="276" w:lineRule="auto"/>
      </w:pPr>
      <w:r>
        <w:t xml:space="preserve">2. </w:t>
      </w:r>
      <w:r>
        <w:t xml:space="preserve">Yerleşim yeri belgesi ve nüfus kayıt örneği</w:t>
      </w:r>
    </w:p>
    <w:p>
      <w:pPr>
        <w:jc w:val="both"/>
        <w:spacing w:after="120" w:line="276" w:lineRule="auto"/>
      </w:pPr>
      <w:r>
        <w:t xml:space="preserve">3. </w:t>
      </w:r>
      <w:r>
        <w:t xml:space="preserve">SGK hizmet dökümü veya iş yeri yazısı</w:t>
      </w:r>
    </w:p>
    <w:p>
      <w:pPr>
        <w:jc w:val="both"/>
        <w:spacing w:after="120" w:line="276" w:lineRule="auto"/>
      </w:pPr>
      <w:r>
        <w:t xml:space="preserve">4. </w:t>
      </w:r>
      <w:r>
        <w:t xml:space="preserve">Adli sicil kaydı</w:t>
      </w:r>
    </w:p>
    <w:p>
      <w:pPr>
        <w:jc w:val="both"/>
        <w:spacing w:after="120" w:line="276" w:lineRule="auto"/>
      </w:pPr>
      <w:r>
        <w:t xml:space="preserve">5. </w:t>
      </w:r>
      <w:r>
        <w:t xml:space="preserve">[Kira sözleşmesi ve yeni adres belgesi, sağlık raporu, HTS veya iş yeri giriş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