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w:t>
      </w:r>
    </w:p>
    <w:p>
      <w:pPr>
        <w:jc w:val="center"/>
        <w:spacing w:after="120" w:line="276" w:lineRule="auto"/>
      </w:pPr>
      <w:r>
        <w:t xml:space="preserve">[İl] Asliye Ceza Mahkemesi Hâkimine gönderilmek üzere</w:t>
      </w:r>
    </w:p>
    <w:p>
      <w:pPr>
        <w:jc w:val="center"/>
        <w:spacing w:after="120" w:line="276" w:lineRule="auto"/>
      </w:pPr>
      <w:r>
        <w:rPr>
          <w:i/>
          <w:iCs/>
        </w:rPr>
        <w:t xml:space="preserve">[Dava açıldıysa ve kararı ağır ceza mahkemesi verdiyse başlık şöyle olur: İL, NO. AĞIR CEZA MAHKEMESİ BAŞKANLIĞINA, numara olarak izleyen daireye ya da tek daire varsa en yakın ağır ceza mahkemesine gönderilmek üzere]</w:t>
      </w:r>
    </w:p>
    <w:p>
      <w:pPr>
        <w:jc w:val="both"/>
        <w:spacing w:after="120" w:line="276" w:lineRule="auto"/>
      </w:pPr>
      <w:r>
        <w:rPr>
          <w:b/>
          <w:bCs/>
        </w:rPr>
        <w:t xml:space="preserve">SORUŞTURMA NO:</w:t>
      </w:r>
      <w:r>
        <w:t xml:space="preserve"> [yıl/sayı]</w:t>
      </w:r>
    </w:p>
    <w:p>
      <w:pPr>
        <w:jc w:val="both"/>
        <w:spacing w:after="120" w:line="276" w:lineRule="auto"/>
      </w:pPr>
      <w:r>
        <w:rPr>
          <w:b/>
          <w:bCs/>
        </w:rPr>
        <w:t xml:space="preserve">DEĞİŞİK İŞ (SORGU) NO:</w:t>
      </w:r>
      <w:r>
        <w:t xml:space="preserve"> [yıl/sayı] D. İş</w:t>
      </w:r>
    </w:p>
    <w:p>
      <w:pPr>
        <w:jc w:val="both"/>
        <w:spacing w:after="120" w:line="276" w:lineRule="auto"/>
      </w:pPr>
      <w:r>
        <w:rPr>
          <w:b/>
          <w:bCs/>
        </w:rPr>
        <w:t xml:space="preserve">ESAS NO:</w:t>
      </w:r>
      <w:r>
        <w:t xml:space="preserve"> [yalnız kovuşturmada: yıl/sayı]</w:t>
      </w:r>
    </w:p>
    <w:p>
      <w:pPr>
        <w:jc w:val="both"/>
        <w:spacing w:after="120" w:line="276" w:lineRule="auto"/>
      </w:pPr>
      <w:r>
        <w:rPr>
          <w:b/>
          <w:bCs/>
        </w:rPr>
        <w:t xml:space="preserve">İTİRAZ EDEN ŞÜPHELİ:</w:t>
      </w:r>
      <w:r>
        <w:t xml:space="preserve"> [Ad Soyad], T.C. Kimlik No: [………], Doğum tarihi: [gg.aa.yyyy]</w:t>
      </w:r>
    </w:p>
    <w:p>
      <w:pPr>
        <w:jc w:val="both"/>
        <w:spacing w:after="120" w:line="276" w:lineRule="auto"/>
      </w:pPr>
      <w:r>
        <w:t xml:space="preserve">Hâlen [……] Ceza İnfaz Kurumunda tutuklu</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İSNAT EDİLEN SUÇ:</w:t>
      </w:r>
      <w:r>
        <w:t xml:space="preserve"> Uyuşturucu veya uyarıcı madde ticareti, TCK 188/3 [kararda geçiyorsa: 188/4-a, 188/4-b, 188/5]</w:t>
      </w:r>
    </w:p>
    <w:p>
      <w:pPr>
        <w:jc w:val="both"/>
        <w:spacing w:after="120" w:line="276" w:lineRule="auto"/>
      </w:pPr>
      <w:r>
        <w:rPr>
          <w:b/>
          <w:bCs/>
        </w:rPr>
        <w:t xml:space="preserve">İTİRAZ EDİLEN KARAR:</w:t>
      </w:r>
      <w:r>
        <w:t xml:space="preserve"> Hâkimliğinizin [gg.aa.yyyy] tarihli, [yıl/sayı] D. İş sayılı tutuklama kararı</w:t>
      </w:r>
    </w:p>
    <w:p>
      <w:pPr>
        <w:jc w:val="both"/>
        <w:spacing w:after="120" w:line="276" w:lineRule="auto"/>
      </w:pPr>
      <w:r>
        <w:rPr>
          <w:b/>
          <w:bCs/>
        </w:rPr>
        <w:t xml:space="preserve">KARARIN ÖĞRENİLDİĞİ TARİH:</w:t>
      </w:r>
      <w:r>
        <w:t xml:space="preserve"> [gg.aa.yyyy] (sorgu sırasında yüze karşı açıklandı)</w:t>
      </w:r>
    </w:p>
    <w:p>
      <w:pPr>
        <w:jc w:val="both"/>
        <w:spacing w:after="120" w:line="276" w:lineRule="auto"/>
      </w:pPr>
      <w:r>
        <w:rPr>
          <w:b/>
          <w:bCs/>
        </w:rPr>
        <w:t xml:space="preserve">KONU:</w:t>
      </w:r>
      <w:r>
        <w:t xml:space="preserve"> Ele geçen maddenin miktarı, niteliği ve dosyadaki delil durumu ticaret amacını gösteren kuvvetli şüphe oluşturmadığından tutuklama kararının kaldırılarak tahliyeme, bu istem yerinde görülmezse adli kontrol tedbirleriyle salıverilmeme karar verilmesi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[gg.aa.yyyy] tarihinde [konutumda / aracımda / üst aramasında] yapılan arama sonrasında gözaltına alındım ve [gg.aa.yyyy] tarihinde Hâkimliğinizce tutuklandım. Karar sorgu sırasında bana açıklandı. İtirazım, CMK 268/1'de öngörülen iki haftalık süre içindedir.</w:t>
      </w:r>
    </w:p>
    <w:p>
      <w:pPr>
        <w:jc w:val="both"/>
        <w:spacing w:after="120" w:line="276" w:lineRule="auto"/>
      </w:pPr>
      <w:r>
        <w:t xml:space="preserve">2. </w:t>
      </w:r>
      <w:r>
        <w:rPr>
          <w:b/>
          <w:bCs/>
        </w:rPr>
        <w:t xml:space="preserve">TCK 188/3 bakımından kuvvetli şüphe yoktur.</w:t>
      </w:r>
      <w:r>
        <w:t xml:space="preserve"> Bu suçun oluşması için ele geçen maddenin uyuşturucu veya uyarıcı nitelikte olması, failin onu satmak, satışa arz etmek, başkasına vermek, nakletmek gibi kanunda sayılan bir hareketi gerçekleştirmesi ve bunu bilerek, ticaret amacıyla yapması gerekir. Dosyada ele geçen [madde türü] için yalnız [saha testi / kolluk tespiti] vardır; kimyasal analiz raporu henüz gelmemiştir. Tutanakta yazan [… gram], ambalajıyla birlikte tartılmış brüt ağırlıktır. Hiçbir alıcı tespit edilmemiş; satış anını gösteren görüntü, para transferi ya da teslim tutanağı dosyaya girmemiştir. Ticaret amacı yalnız [miktar / paketleme / terazi] üzerinden çıkarılmıştır. Bu bir çıkarımdır; CMK 100/1'in aradığı, kuvvetli şüpheyi gösteren somut delil değildir.</w:t>
      </w:r>
    </w:p>
    <w:p>
      <w:pPr>
        <w:jc w:val="both"/>
        <w:spacing w:after="120" w:line="276" w:lineRule="auto"/>
      </w:pPr>
      <w:r>
        <w:t xml:space="preserve">3. </w:t>
      </w:r>
      <w:r>
        <w:rPr>
          <w:b/>
          <w:bCs/>
        </w:rPr>
        <w:t xml:space="preserve">Kaçma şüphesini gösteren olgu yoktur.</w:t>
      </w:r>
      <w:r>
        <w:t xml:space="preserve"> [Kaç] yıldır [il, ilçe] adresinde [eşim, çocuklarım / annem ve babam] ile oturuyorum. [İşyeri adı] işyerinde [gg.aa.yyyy] tarihinden beri sigortalı çalışıyorum. Pasaportum [yoktur / teslim etmeye hazırım]; yurt dışında bağlantım bulunmamaktadır. [Arama sırasında kaçmaya çalışmadım / ifadeye çağrıldığımda kendiliğimden gittim.] Ekteki belgelerle sabit olan bu olgular, CMK 100/2-a'nın aradığı somut kaçma olgusunun tam tersini göstermektedir.</w:t>
      </w:r>
    </w:p>
    <w:p>
      <w:pPr>
        <w:jc w:val="both"/>
        <w:spacing w:after="120" w:line="276" w:lineRule="auto"/>
      </w:pPr>
      <w:r>
        <w:t xml:space="preserve">4. </w:t>
      </w:r>
      <w:r>
        <w:rPr>
          <w:b/>
          <w:bCs/>
        </w:rPr>
        <w:t xml:space="preserve">Delil karartma tehlikesi yoktur.</w:t>
      </w:r>
      <w:r>
        <w:t xml:space="preserve"> Ele geçen madde, [hassas terazi, poşetler, nakit para] ve cep telefonum el konularak muhafaza altına alınmıştır. Madde laboratuvara gönderilmiş, telefonum için CMK 134 kapsamında inceleme kararı verilmiştir. HTS kayıtları operatörden resmi yazıyla gelecektir; bu kayıtları değiştirmem mümkün değildir. Dosyada beyanı alınan [tanık / diğer şüpheli] ile temas kurduğuma ya da onu etkilemeye çalıştığıma ilişkin tek bir olgu yoktur.</w:t>
      </w:r>
    </w:p>
    <w:p>
      <w:pPr>
        <w:jc w:val="both"/>
        <w:spacing w:after="120" w:line="276" w:lineRule="auto"/>
      </w:pPr>
      <w:r>
        <w:t xml:space="preserve">5. </w:t>
      </w:r>
      <w:r>
        <w:rPr>
          <w:b/>
          <w:bCs/>
        </w:rPr>
        <w:t xml:space="preserve">Katalog suç olması tek başına yetmez.</w:t>
      </w:r>
      <w:r>
        <w:t xml:space="preserve"> TCK 188, CMK 100/3-a-9'da sayılmıştır; ancak kanun bu suçlarda tutuklama nedeninin "var sayılabileceğini" söyler, var sayılması gerektiğini söylemez. Bu karine de suçun işlendiğine dair somut delillere dayanan kuvvetli şüphenin varlığına bağlıdır. Anayasa Mahkemesi ve Avrupa İnsan Hakları Mahkemesi içtihadında da suçun türü ve ağırlığı, kişiye özgü olgular gösterilmeden tutuklamayı tek başına haklı kılmaz. [varsa emsal karar künyesi]</w:t>
      </w:r>
    </w:p>
    <w:p>
      <w:pPr>
        <w:jc w:val="both"/>
        <w:spacing w:after="120" w:line="276" w:lineRule="auto"/>
      </w:pPr>
      <w:r>
        <w:t xml:space="preserve">6. </w:t>
      </w:r>
      <w:r>
        <w:rPr>
          <w:b/>
          <w:bCs/>
        </w:rPr>
        <w:t xml:space="preserve">Tutuklama ölçülü değildir.</w:t>
      </w:r>
      <w:r>
        <w:t xml:space="preserve"> TCK 188/3'ün alt sınırı on yıl hapistir; ancak bu dosyada eylemin kullanmak için bulundurma (TCK 191/1) olarak nitelendirilmesi kuvvetle muhtemeldir. TCK 191/1'in cezası iki yıldan beş yıla kadar hapistir, suç katalogda yer almaz ve soruşturmada, TCK 191/6'daki istisna dışında, TCK 191/2 uyarınca kamu davasının açılmasının ertelenmesi kararı verilmesi zorunludur; kovuşturmada da hükmün açıklanmasının geri bırakılması öngörülmüştür (TCK 191/8). Böyle bir eylem için tutukluluk, beklenen yaptırımla açıkça orantısızdır (CMK 100/1, ikinci cümle). Ticaret nitelendirmesi korunsa bile [TCK 192/3 kapsamında verdiğim bilgi / adli sicil kaydımın bulunmaması / yaşım] cezayı etkileyecek, tutuklulukta geçen her gün TCK 63 uyarınca cezadan mahsup edilecektir.</w:t>
      </w:r>
    </w:p>
    <w:p>
      <w:pPr>
        <w:jc w:val="both"/>
        <w:spacing w:after="120" w:line="276" w:lineRule="auto"/>
      </w:pPr>
      <w:r>
        <w:t xml:space="preserve">7. </w:t>
      </w:r>
      <w:r>
        <w:rPr>
          <w:b/>
          <w:bCs/>
        </w:rPr>
        <w:t xml:space="preserve">Adli kontrol yeterlidir.</w:t>
      </w:r>
      <w:r>
        <w:t xml:space="preserve"> Kaçma ve delil karartma ihtimali, CMK 109/3'te sayılan yurt dışına çıkış yasağı (a), belirlenecek günlerde kolluğa başvurma (b) ve gerekirse konutu terk etmeme (j) yükümlülükleriyle tamamen önlenebilir. [Madde kullanıyorsanız:] Bağımlılıktan arınmak amacıyla tedavi veya muayene tedbirine (e) tabi olmayı da kabul ediyorum. Bu tedbir hem kişisel kullanım beyanımı denetlenebilir kılar hem de toplumu tutuklamadan daha etkili biçimde korur.</w:t>
      </w:r>
    </w:p>
    <w:p>
      <w:pPr>
        <w:jc w:val="both"/>
        <w:spacing w:after="120" w:line="276" w:lineRule="auto"/>
      </w:pPr>
      <w:r>
        <w:t xml:space="preserve">8. </w:t>
      </w:r>
      <w:r>
        <w:rPr>
          <w:b/>
          <w:bCs/>
        </w:rPr>
        <w:t xml:space="preserve">Karar CMK 101/2'ye uygun gerekçe içermemektedir.</w:t>
      </w:r>
      <w:r>
        <w:t xml:space="preserve"> Kararda "suçun niteliği, katalog suçlardan olması, ele geçen miktar ve delillerin toplanmamış olması" denilmekle yetinilmiştir. CMK 101/2, kuvvetli suç şüphesinin, tutuklama nedeninin, ölçülülüğün ve adli kontrolün neden yetersiz kalacağının somut olgularla gösterilmesini emreder. Hangi delilin beni ticaretle ilişkilendirdiği, hangi davranışımın kaçma veya karartma şüphesi doğurduğu kararda yazılı değildir. Ele geçen miktarı yüz kat farklı olan dosyalarda da kullanılabilecek bir cümle, kişiye özgü gerekçe sayılamaz.</w:t>
      </w:r>
    </w:p>
    <w:p>
      <w:pPr>
        <w:jc w:val="both"/>
        <w:spacing w:after="120" w:line="276" w:lineRule="auto"/>
      </w:pPr>
      <w:r>
        <w:t xml:space="preserve">9. </w:t>
      </w:r>
      <w:r>
        <w:rPr>
          <w:b/>
          <w:bCs/>
        </w:rPr>
        <w:t xml:space="preserve">Kişisel durumum.</w:t>
      </w:r>
      <w:r>
        <w:t xml:space="preserve"> [Bakmakla yükümlü olduğunuz çocuk veya hasta yakın, kendi sağlık durumunuz ve raporu, öğrencilik, işinizi kaybetme tehlikesi; her birini tarih ve belgesiyle yazın.]</w:t>
      </w:r>
    </w:p>
    <w:p>
      <w:pPr>
        <w:jc w:val="both"/>
        <w:spacing w:after="120" w:line="276" w:lineRule="auto"/>
      </w:pPr>
      <w:r>
        <w:rPr>
          <w:b/>
          <w:bCs/>
        </w:rPr>
        <w:t xml:space="preserve">[SEÇENEK — dosyanıza uyuyorsa kullanın: kişisel kullanım ve miktar]</w:t>
      </w:r>
      <w:r>
        <w:t xml:space="preserve"> [Süre]dır [madde türü] kullanıyorum; bu durum [hastane veya bağımlılık merkezi kaydı / idrar, kan ya da saç testi sonucu] ile sabittir. Ele geçen miktar, günlük kullanımım dikkate alındığında yaklaşık [… gün] ihtiyacıma karşılık gelir. Madde tek parça hâlindedir; birbirine yakın gramajlarda paketlenmiş, satışa hazır bir görünüm yoktur. Uygulamada kişisel kullanım sınırı yalnız grama bakılarak değil, kişinin kullanıcı olup olmadığı, maddenin türü ve ele geçiriliş biçimi birlikte değerlendirilerek belirlenir.</w:t>
      </w:r>
    </w:p>
    <w:p>
      <w:pPr>
        <w:jc w:val="both"/>
        <w:spacing w:after="120" w:line="276" w:lineRule="auto"/>
      </w:pPr>
      <w:r>
        <w:rPr>
          <w:b/>
          <w:bCs/>
        </w:rPr>
        <w:t xml:space="preserve">[SEÇENEK — dosyanıza uyuyorsa kullanın: hassas terazi, poşet ve nakit]</w:t>
      </w:r>
      <w:r>
        <w:t xml:space="preserve"> Evimde bulunan terazi [mutfakta gıda tartımında kullanılan bir terazidir / üzerinde madde kalıntısı incelemesi yapılmamıştır]. Kilitli poşet, kesici alet ya da paketleme malzemesi ele geçmemiştir. Ele geçen [tutar] TL nakit [maaşım / kira gelirim / esnaflık hasılatım] olup kaynağı ekteki [banka dökümü / bordro] ile açıklanmıştır.</w:t>
      </w:r>
    </w:p>
    <w:p>
      <w:pPr>
        <w:jc w:val="both"/>
        <w:spacing w:after="120" w:line="276" w:lineRule="auto"/>
      </w:pPr>
      <w:r>
        <w:rPr>
          <w:b/>
          <w:bCs/>
        </w:rPr>
        <w:t xml:space="preserve">[SEÇENEK — dosyanıza uyuyorsa kullanın: HTS ve iletişim tespiti]</w:t>
      </w:r>
      <w:r>
        <w:t xml:space="preserve"> Kararda anılan HTS kaydı yalnız kiminle, ne zaman görüştüğümü ve telefonumun hangi baz istasyonundan sinyal verdiğini gösterir; görüşmenin içeriğini göstermez. İletişimin dinlenmesi ve kayda alınması için CMK 135/1 uyarınca hâkim kararı ve "başka suretle delil elde edilememesi" şartı aranır; dosyada [böyle bir karar yoktur / kayıt, karar süresi dışında yapılmıştır]. Bir kişiyle sık görüşmek uyuşturucu satıldığını göstermez; [görüştüğüm kişi kardeşim / iş arkadaşım / ev arkadaşımdır].</w:t>
      </w:r>
    </w:p>
    <w:p>
      <w:pPr>
        <w:jc w:val="both"/>
        <w:spacing w:after="120" w:line="276" w:lineRule="auto"/>
      </w:pPr>
      <w:r>
        <w:rPr>
          <w:b/>
          <w:bCs/>
        </w:rPr>
        <w:t xml:space="preserve">[SEÇENEK — dosyanıza uyuyorsa kullanın: muhbir, gizli tanık veya alıcı beyanı]</w:t>
      </w:r>
      <w:r>
        <w:t xml:space="preserve"> Soruşturma [isimsiz bir ihbara / kimliği gizli tanığın beyanına / madde ile yakalanan bir kişinin "bundan aldım" sözüne] dayanmaktadır. Kimliği gizlenen tanığın beyanı tek başına hükme esas alınamaz (5726 sayılı Tanık Koruma Kanunu m.9/8); mahkûmiyete yetmeyen ve hiçbir delille desteklenmeyen bir beyanın tutuklamaya yetmesi de beklenemez. Maddeyle yakalanan kişinin beyanı, TCK 192/3'teki indirimden yararlanma beklentisiyle verilmiş olabilir ve [tarih, yer, miktar] bakımından nesnel bir delille doğrulanmamıştır.</w:t>
      </w:r>
    </w:p>
    <w:p>
      <w:pPr>
        <w:jc w:val="both"/>
        <w:spacing w:after="120" w:line="276" w:lineRule="auto"/>
      </w:pPr>
      <w:r>
        <w:rPr>
          <w:b/>
          <w:bCs/>
        </w:rPr>
        <w:t xml:space="preserve">[SEÇENEK — dosyanıza uyuyorsa kullanın: TCK 188/4-b ve 188/5 artırımları]</w:t>
      </w:r>
      <w:r>
        <w:t xml:space="preserve"> Kararda [okul / hastane / ibadethane] yakınlığı ileri sürülmüştür; oysa iki yüz metrelik mesafe ölçülmemiş, olay yerinin umumi veya umuma açık bir yer olup olmadığı belirlenmemiştir. Suçun üç veya daha fazla kişiyle birlikte işlendiği iddiasında da her şüpheli yönünden ayrı bir birlikte hareket iradesi gösterilmelidir; aynı araçta ya da aynı evde bulunmak birlikte işleme anlamına gelmez. Bu artırımlar, ispatlanmadan ceza beklentisini büyütmek için kullanılmamalıdır.</w:t>
      </w:r>
    </w:p>
    <w:p>
      <w:pPr>
        <w:jc w:val="both"/>
        <w:spacing w:after="120" w:line="276" w:lineRule="auto"/>
      </w:pPr>
      <w:r>
        <w:rPr>
          <w:b/>
          <w:bCs/>
        </w:rPr>
        <w:t xml:space="preserve">[SEÇENEK — dosyanıza uyuyorsa kullanın: arama işlemi]</w:t>
      </w:r>
      <w:r>
        <w:t xml:space="preserve"> Madde [konutta / işyerinde] ele geçmiştir. Konutta ve işyerinde arama ancak hâkim kararıyla ya da gecikmesinde sakınca bulunan hâllerde Cumhuriyet savcısının yazılı emriyle yapılabilir (CMK 119/1). Dosyada [karar veya yazılı emir bulunmamaktadır / arama, kararda yazan adres dışında yapılmıştır]. Kanuna aykırı elde edilen delil, kuvvetli şüpheye dayanak yapılamaz (CMK 206/2-a).</w:t>
      </w:r>
    </w:p>
    <w:p>
      <w:pPr>
        <w:jc w:val="both"/>
        <w:spacing w:after="120" w:line="276" w:lineRule="auto"/>
      </w:pPr>
      <w:r>
        <w:rPr>
          <w:b/>
          <w:bCs/>
        </w:rPr>
        <w:t xml:space="preserve">HUKUKİ NEDENLER:</w:t>
      </w:r>
      <w:r>
        <w:t xml:space="preserve"> Anayasa m. 19; Avrupa İnsan Hakları Sözleşmesi m. 5; CMK m. 100, 101, 109, 119, 134, 135, 262, 263, 268, 270, 271; TCK m. 63, 188, 191, 192; 5726 sayılı Kanun m. 9; [varsa emsal karar künyesi].</w:t>
      </w:r>
    </w:p>
    <w:p>
      <w:pPr>
        <w:jc w:val="both"/>
        <w:spacing w:after="120" w:line="276" w:lineRule="auto"/>
      </w:pPr>
      <w:r>
        <w:rPr>
          <w:b/>
          <w:bCs/>
        </w:rPr>
        <w:t xml:space="preserve">DELİLLER:</w:t>
      </w:r>
      <w:r>
        <w:t xml:space="preserve"> Soruşturma dosyası, arama ve el koyma tutanakları, [laboratuvar raporu geldiyse], yerleşim yeri belgesi, SGK hizmet dökümü veya işveren yazısı, [sağlık ve tedavi kayıtları, test sonuçları, banka dökümü], her türlü yasal delil.</w:t>
      </w:r>
    </w:p>
    <w:p>
      <w:pPr>
        <w:jc w:val="both"/>
        <w:spacing w:after="120" w:line="276" w:lineRule="auto"/>
      </w:pPr>
      <w:r>
        <w:rPr>
          <w:b/>
          <w:bCs/>
        </w:rPr>
        <w:t xml:space="preserve">SONUÇ VE İSTEM:</w:t>
      </w:r>
      <w:r>
        <w:t xml:space="preserve"> Açıklanan ve re'sen gözetilecek nedenlerle;</w:t>
      </w:r>
    </w:p>
    <w:p>
      <w:pPr>
        <w:jc w:val="both"/>
        <w:spacing w:after="120" w:line="276" w:lineRule="auto"/>
      </w:pPr>
      <w:r>
        <w:t xml:space="preserve">1. </w:t>
      </w:r>
      <w:r>
        <w:t xml:space="preserve">İtirazımın kabulüyle Hâkimliğinizce kararın düzeltilmesine (CMK 268/2), düzeltilmezse dosyanın itirazı incelemeye yetkili mercie gönderilerek tutuklama kararının kaldırılmasına ve TAHLİYEME,</w:t>
      </w:r>
    </w:p>
    <w:p>
      <w:pPr>
        <w:jc w:val="both"/>
        <w:spacing w:after="120" w:line="276" w:lineRule="auto"/>
      </w:pPr>
      <w:r>
        <w:t xml:space="preserve">2. </w:t>
      </w:r>
      <w:r>
        <w:t xml:space="preserve">Bu istemim yerinde görülmezse, terditli olarak CMK 109/3 uyarınca yurt dışına çıkış yasağı, [haftada … gün] kolluğa başvurma, [tedavi ve muayene tedbiri] ve gerekirse konutu terk etmeme yükümlülükleriyle ADLİ KONTROL altında salıverilmeme,</w:t>
      </w:r>
    </w:p>
    <w:p>
      <w:pPr>
        <w:jc w:val="both"/>
        <w:spacing w:after="120" w:line="276" w:lineRule="auto"/>
      </w:pPr>
      <w:r>
        <w:t xml:space="preserve">3. </w:t>
      </w:r>
      <w:r>
        <w:t xml:space="preserve">CMK 271/1 uyarınca gerekli görülmesi hâlinde müdafiimin dinlenmesine; Cumhuriyet savcısından görüş alınırsa bu görüşün tarafıma bildirilmesine (CMK 270/2),</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İtiraz Eden Şüpheli</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Tutuklama kararının örneği</w:t>
      </w:r>
    </w:p>
    <w:p>
      <w:pPr>
        <w:jc w:val="both"/>
        <w:spacing w:after="120" w:line="276" w:lineRule="auto"/>
      </w:pPr>
      <w:r>
        <w:t xml:space="preserve">2. </w:t>
      </w:r>
      <w:r>
        <w:t xml:space="preserve">Yerleşim yeri belgesi ve nüfus kayıt örneği</w:t>
      </w:r>
    </w:p>
    <w:p>
      <w:pPr>
        <w:jc w:val="both"/>
        <w:spacing w:after="120" w:line="276" w:lineRule="auto"/>
      </w:pPr>
      <w:r>
        <w:t xml:space="preserve">3. </w:t>
      </w:r>
      <w:r>
        <w:t xml:space="preserve">SGK hizmet dökümü veya işveren yazısı</w:t>
      </w:r>
    </w:p>
    <w:p>
      <w:pPr>
        <w:jc w:val="both"/>
        <w:spacing w:after="120" w:line="276" w:lineRule="auto"/>
      </w:pPr>
      <w:r>
        <w:t xml:space="preserve">4. </w:t>
      </w:r>
      <w:r>
        <w:t xml:space="preserve">[Sağlık raporu, tedavi kaydı, test sonucu]</w:t>
      </w:r>
    </w:p>
    <w:p>
      <w:pPr>
        <w:jc w:val="both"/>
        <w:spacing w:after="120" w:line="276" w:lineRule="auto"/>
      </w:pPr>
      <w:r>
        <w:t xml:space="preserve">5. </w:t>
      </w:r>
      <w:r>
        <w:t xml:space="preserve">[Nakdin kaynağını gösteren banka dökümü veya bordro]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