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AĞIR CEZA MAHKEMESİ BAŞKANLIĞINA</w:t>
      </w:r>
    </w:p>
    <w:p>
      <w:pPr>
        <w:jc w:val="both"/>
        <w:spacing w:after="120" w:line="276" w:lineRule="auto"/>
      </w:pPr>
      <w:r>
        <w:rPr>
          <w:b/>
          <w:bCs/>
        </w:rPr>
        <w:t xml:space="preserve">ESAS NO:</w:t>
      </w:r>
      <w:r>
        <w:t xml:space="preserve"> [Yıl/Sıra]</w:t>
      </w:r>
    </w:p>
    <w:p>
      <w:pPr>
        <w:jc w:val="both"/>
        <w:spacing w:after="120" w:line="276" w:lineRule="auto"/>
      </w:pPr>
      <w:r>
        <w:rPr>
          <w:b/>
          <w:bCs/>
        </w:rPr>
        <w:t xml:space="preserve">SANIK:</w:t>
      </w:r>
      <w:r>
        <w:t xml:space="preserve"> [Ad Soyad], T.C. Kimlik No: [...........], [kurumu ve unvanı], Adres: [...........]</w:t>
      </w:r>
    </w:p>
    <w:p>
      <w:pPr>
        <w:jc w:val="both"/>
        <w:spacing w:after="120" w:line="276" w:lineRule="auto"/>
      </w:pPr>
      <w:r>
        <w:t xml:space="preserve">[varsa: MÜDAFİİ: Av. Ad Soyad]</w:t>
      </w:r>
    </w:p>
    <w:p>
      <w:pPr>
        <w:jc w:val="both"/>
        <w:spacing w:after="120" w:line="276" w:lineRule="auto"/>
      </w:pPr>
      <w:r>
        <w:rPr>
          <w:b/>
          <w:bCs/>
        </w:rPr>
        <w:t xml:space="preserve">KATILAN:</w:t>
      </w:r>
      <w:r>
        <w:t xml:space="preserve"> [varsa: zarar gören kurumun adı]</w:t>
      </w:r>
    </w:p>
    <w:p>
      <w:pPr>
        <w:jc w:val="both"/>
        <w:spacing w:after="120" w:line="276" w:lineRule="auto"/>
      </w:pPr>
      <w:r>
        <w:rPr>
          <w:b/>
          <w:bCs/>
        </w:rPr>
        <w:t xml:space="preserve">SUÇ:</w:t>
      </w:r>
      <w:r>
        <w:t xml:space="preserve"> Zimmet [TCK 247/1 / 247/2; mütalaada istenmişse TCK 43 ve 53/5]</w:t>
      </w:r>
    </w:p>
    <w:p>
      <w:pPr>
        <w:jc w:val="both"/>
        <w:spacing w:after="120" w:line="276" w:lineRule="auto"/>
      </w:pPr>
      <w:r>
        <w:rPr>
          <w:b/>
          <w:bCs/>
        </w:rPr>
        <w:t xml:space="preserve">MÜTALAA TARİHİ:</w:t>
      </w:r>
      <w:r>
        <w:t xml:space="preserve"> [gg.aa.2026] tarihli celsede Cumhuriyet savcısının açıkladığı esas hakkındaki mütalaa</w:t>
      </w:r>
    </w:p>
    <w:p>
      <w:pPr>
        <w:jc w:val="both"/>
        <w:spacing w:after="120" w:line="276" w:lineRule="auto"/>
      </w:pPr>
      <w:r>
        <w:rPr>
          <w:b/>
          <w:bCs/>
        </w:rPr>
        <w:t xml:space="preserve">KONU:</w:t>
      </w:r>
      <w:r>
        <w:t xml:space="preserve"> Zimmet suçlamasına ilişkin mütalaaya karşı yazılı savunmalarımız, yeni bilirkişi incelemesi ve eksik kayıtların getirtilmesi talebimiz ve hükme ilişkin terditli taleplerimizdir.</w:t>
      </w:r>
    </w:p>
    <w:p>
      <w:pPr>
        <w:jc w:val="both"/>
        <w:spacing w:after="120" w:line="276" w:lineRule="auto"/>
      </w:pPr>
      <w:r>
        <w:rPr>
          <w:b/>
          <w:bCs/>
        </w:rPr>
        <w:t xml:space="preserve">AÇIKLAMALAR:</w:t>
      </w:r>
    </w:p>
    <w:p>
      <w:pPr>
        <w:jc w:val="both"/>
        <w:spacing w:after="120" w:line="276" w:lineRule="auto"/>
      </w:pPr>
      <w:r>
        <w:t xml:space="preserve">1. </w:t>
      </w:r>
      <w:r>
        <w:rPr>
          <w:b/>
          <w:bCs/>
        </w:rPr>
        <w:t xml:space="preserve">Mütalaanın dayanağı:</w:t>
      </w:r>
      <w:r>
        <w:t xml:space="preserve"> Savcılık, [kurum]da [veznedar / tahsildar / taşınır kayıt yetkilisi / muhasebe yetkilisi / icra müdür yardımcısı] olarak görev yapan sanığın [gg.aa.20..] ile [gg.aa.20..] arasında [tutar] TL [parayı / malzemeyi] zimmetine geçirdiğini kabul etmiş ve TCK 247/[1-2] uyarınca cezalandırma istemiştir. Mütalaa [gg.aa.20..] tarihli müfettiş raporu, [gg.aa.20..] tarihli kasa sayım tutanağı ve bu raporu esas alan bilirkişi raporu üzerine kuruludur. Mütalaa, bir hesap açığının varlığından doğrudan sanığın bu tutarı kendi malı gibi harcadığı sonucuna geçmektedir; oysa açık ile zimmet aynı şey değildir.</w:t>
      </w:r>
    </w:p>
    <w:p>
      <w:pPr>
        <w:jc w:val="both"/>
        <w:spacing w:after="120" w:line="276" w:lineRule="auto"/>
      </w:pPr>
      <w:r>
        <w:t xml:space="preserve">2. </w:t>
      </w:r>
      <w:r>
        <w:rPr>
          <w:b/>
          <w:bCs/>
        </w:rPr>
        <w:t xml:space="preserve">Kamu görevlisi sıfatı:</w:t>
      </w:r>
      <w:r>
        <w:t xml:space="preserve"> Zimmet suçunun faili ancak kamu görevlisi olabilir (TCK 6/1-c). [Dosyanıza göre: Sanık, [özel şirket / dernek / yüklenici firma] çalışanıdır; kamusal bir faaliyetin yürütülmesine atama ya da seçimle katılmamaktadır.] Bu sıfat yoksa 247 uygulanamaz; eylem en fazla hizmet ilişkisi nedeniyle güveni kötüye kullanma (TCK 155/2) kapsamında tartışılabilir; zarar gören gerçek kişi ya da özel hukuk tüzel kişisiyse bu suç uzlaştırmaya tabidir (CMK 253/1).</w:t>
      </w:r>
    </w:p>
    <w:p>
      <w:pPr>
        <w:jc w:val="both"/>
        <w:spacing w:after="120" w:line="276" w:lineRule="auto"/>
      </w:pPr>
      <w:r>
        <w:t xml:space="preserve">3. </w:t>
      </w:r>
      <w:r>
        <w:rPr>
          <w:b/>
          <w:bCs/>
        </w:rPr>
        <w:t xml:space="preserve">Malın görev nedeniyle sanığa teslim edilmesi:</w:t>
      </w:r>
      <w:r>
        <w:t xml:space="preserve"> Suçun konusu, görevi nedeniyle zilyetliği failin kendisine devredilmiş ya da koruma ve gözetimiyle yükümlü olduğu maldır. Sanığın görev tanımında [kasa sorumluluğu / ambar sorumluluğu] yer almamaktadır [görev dağılım çizelgesi]. Kasa için devir-teslim tutanağı düzenlenmemiş, kasanın anahtarı ve tahsilat programının şifresi [... kişi] tarafından ortak kullanılmıştır [kullanıcı listesi, tanık]. Malın sanığa münhasıran teslim edildiği gösterilmeden, açıktan tek başına sanık sorumlu tutulamaz.</w:t>
      </w:r>
    </w:p>
    <w:p>
      <w:pPr>
        <w:jc w:val="both"/>
        <w:spacing w:after="120" w:line="276" w:lineRule="auto"/>
      </w:pPr>
      <w:r>
        <w:t xml:space="preserve">4. </w:t>
      </w:r>
      <w:r>
        <w:rPr>
          <w:b/>
          <w:bCs/>
        </w:rPr>
        <w:t xml:space="preserve">Zimmete geçirme fiili:</w:t>
      </w:r>
      <w:r>
        <w:t xml:space="preserve"> Zimmet, failin kendisine görev nedeniyle bırakılan mal üzerinde malik gibi tasarruf etmesidir. Dosyada açık tutarının sanığın ya da yakınlarının hesabına geçtiğine, sanığın gelirleriyle açıklanamayan bir harcama yaptığına dair hiçbir tespit yoktur; sanığın ve eşinin hesap hareketleri incelenmemiştir. Paranın nereye gittiği belirlenmeden "zimmete geçirme" unsuru varsayılamaz.</w:t>
      </w:r>
    </w:p>
    <w:p>
      <w:pPr>
        <w:jc w:val="both"/>
        <w:spacing w:after="120" w:line="276" w:lineRule="auto"/>
      </w:pPr>
      <w:r>
        <w:t xml:space="preserve">5. </w:t>
      </w:r>
      <w:r>
        <w:rPr>
          <w:b/>
          <w:bCs/>
        </w:rPr>
        <w:t xml:space="preserve">Açığın kaynağı ve kast:</w:t>
      </w:r>
      <w:r>
        <w:t xml:space="preserve"> Açık; [tahsil edilip sisteme geç işlenen makbuzlardan / iptal edilen ama sistemden düşülmeyen işlemlerden / önceki dönemden devreden bakiyeden / mükerrer kayıttan / sistem arızası nedeniyle elle tutulan kayıtlardan] kaynaklanmaktadır [makbuz koçanları, sistem kayıtları, arıza bildirimi]. Bu durum bir hizmet kusuru ve kayıt düzensizliğidir. Kamu zararının idari yolla tahsili 5018 sayılı Kanun'un 71. maddesinde ayrıca düzenlenmiştir; idari ya da mali sorumluluk, zimmet kastını göstermez. Bu suçun taksirli hâli yoktur.</w:t>
      </w:r>
    </w:p>
    <w:p>
      <w:pPr>
        <w:jc w:val="both"/>
        <w:spacing w:after="120" w:line="276" w:lineRule="auto"/>
      </w:pPr>
      <w:r>
        <w:t xml:space="preserve">6. </w:t>
      </w:r>
      <w:r>
        <w:rPr>
          <w:b/>
          <w:bCs/>
        </w:rPr>
        <w:t xml:space="preserve">Müfettiş ve bilirkişi raporları:</w:t>
      </w:r>
      <w:r>
        <w:t xml:space="preserve"> Müfettiş raporu idari bir inceleme belgesidir; ceza yargılamasında CMK 63 anlamında bilirkişi raporu değildir. Mahkemece alınan bilirkişi raporu ise müfettiş raporunun tespitlerini incelemeden tekrar etmiş, [devreden bakiye / iade ve mahsup kayıtları / sistemdeki iptal işlemleri] hiç hesaba katılmamıştır. Rapor ayrıca "zimmet suçunun oluştuğu" yönünde hukuki değerlendirme yapmıştır; bilirkişi hukuki nitelendirme yapamaz (CMK 67/3). Sanığın itirazları raporda karşılanmamıştır. Ekte sunulan [mali müşavir / muhasebe uzmanı] mütalaası (CMK 67/6), açığın [tutar] TL'sinin kayıt farkından doğduğunu göstermektedir. Yeni bir mali bilirkişi heyetinden rapor alınması zorunludur.</w:t>
      </w:r>
    </w:p>
    <w:p>
      <w:pPr>
        <w:jc w:val="both"/>
        <w:spacing w:after="120" w:line="276" w:lineRule="auto"/>
      </w:pPr>
      <w:r>
        <w:t xml:space="preserve">7. </w:t>
      </w:r>
      <w:r>
        <w:rPr>
          <w:b/>
          <w:bCs/>
        </w:rPr>
        <w:t xml:space="preserve">Hileli zimmet iddiası:</w:t>
      </w:r>
      <w:r>
        <w:t xml:space="preserve"> TCK 247/2'deki artırım, zimmetin açığa çıkmamasını sağlamaya yönelik hileli davranışları arar. Hile, denetimi yanıltmaya elverişli olmalıdır: sahte belge düzenlemek, kayıtları sistemli biçimde değiştirmek gibi. Olayda [geç kayıt / eksik makbuz / düzeltme kaydı] dışında bir davranış yoktur ve açık [ilk rutin sayımda] kolayca ortaya çıkmıştır. Kolayca anlaşılan bir kayıt eksikliği hile sayılamaz; artırım uygulanmamalıdır.</w:t>
      </w:r>
    </w:p>
    <w:p>
      <w:pPr>
        <w:jc w:val="both"/>
        <w:spacing w:after="120" w:line="276" w:lineRule="auto"/>
      </w:pPr>
      <w:r>
        <w:t xml:space="preserve">8. </w:t>
      </w:r>
      <w:r>
        <w:t xml:space="preserve">[SEÇENEK — dosyanıza uyuyorsa kullanın: para geçici kullanılıp geri konulduysa] Sanık [tutar] TL'yi [gg.aa.20..] tarihinde [acil sağlık gideri / kira] için kullanmış ve [gg.aa.20..] tarihinde aynen kasaya geri koymuştur [kasa defteri, dekont]. Zimmetin, malın geçici bir süre kullanıldıktan sonra iade edilmek üzere işlenmesi hâlinde TCK 247/3 uyarınca ceza yarı oranına kadar indirilebilir. İade amacı, paranın kısa sürede eksiksiz geri konulmasıyla somut olarak gösterilmiştir.</w:t>
      </w:r>
    </w:p>
    <w:p>
      <w:pPr>
        <w:jc w:val="both"/>
        <w:spacing w:after="120" w:line="276" w:lineRule="auto"/>
      </w:pPr>
      <w:r>
        <w:t xml:space="preserve">9. </w:t>
      </w:r>
      <w:r>
        <w:t xml:space="preserve">[SEÇENEK — dosyanıza uyuyorsa kullanın: para kurum için ama mevzuata aykırı harcandıysa] Para sanığın kişisel yararına değil, [kurumun acil onarımı / personel ihtiyacı / başka bir ödeneğin açığı] için, mevzuattaki ödeme usulüne uyulmadan harcanmıştır [fatura, teslim tutanağı, amir talimatı]. Mal sanığın ya da bir başkasının zimmetine geçmemiş, kurum hizmetinde kullanılmıştır. Bu eylem zimmet değil, en fazla görevin gereklerine aykırı davranma (TCK 257/1) olarak tartışılabilir. Görevi kötüye kullanma için 4483 sayılı Kanun'a göre soruşturma izni gerekir; izin alınmadıkça hüküm kurulamayacağından CMK 223/8 uyarınca durma kararı verilmelidir.</w:t>
      </w:r>
    </w:p>
    <w:p>
      <w:pPr>
        <w:jc w:val="both"/>
        <w:spacing w:after="120" w:line="276" w:lineRule="auto"/>
      </w:pPr>
      <w:r>
        <w:t xml:space="preserve">10. </w:t>
      </w:r>
      <w:r>
        <w:t xml:space="preserve">[SEÇENEK — dosyanıza uyuyorsa kullanın: denetim eksikliğinden doğan açıksa] Sanığın kusuru, en fazla kasayı yeterince denetlememek ya da sayımı zamanında yapmamaktır. Görevin gereklerini yapmakta ihmal TCK 257/2'de ayrıca düzenlenmiştir; kast bulunmadığı sürece zimmet uygulanamaz.</w:t>
      </w:r>
    </w:p>
    <w:p>
      <w:pPr>
        <w:jc w:val="both"/>
        <w:spacing w:after="120" w:line="276" w:lineRule="auto"/>
      </w:pPr>
      <w:r>
        <w:t xml:space="preserve">11. </w:t>
      </w:r>
      <w:r>
        <w:t xml:space="preserve">[SEÇENEK — dosyanıza uyuyorsa kullanın: zarar giderildiyse] Sanık [gg.aa.20..] tarihinde [tutar] TL'yi kuruma kendi isteğiyle ödemiştir [dekont, kurum yazısı]; ödeme icra takibi ya da zorla tahsil yoluyla değil, sanığın iradesiyle yapılmıştır. Ödeme [soruşturma başlamadan önce yapıldığından TCK 248/1 uyarınca cezanın üçte ikisi / iddianamenin kabulünden önce gönüllü olarak yapıldığından TCK 248/2 uyarınca cezanın yarısı / hükümden önce yapıldığından TCK 248/2 uyarınca cezanın üçte biri] indirilmelidir. Kanun bu oranları kesin olarak belirlemiştir; mahkemenin takdirine bırakılmış değildir.</w:t>
      </w:r>
    </w:p>
    <w:p>
      <w:pPr>
        <w:jc w:val="both"/>
        <w:spacing w:after="120" w:line="276" w:lineRule="auto"/>
      </w:pPr>
      <w:r>
        <w:t xml:space="preserve">12. </w:t>
      </w:r>
      <w:r>
        <w:t xml:space="preserve">[SEÇENEK — dosyanıza uyuyorsa kullanın: tutar düşükse] Zimmet konusu malın değeri [tutar] TL'dir. TCK 249 uyarınca malın değerinin azlığı nedeniyle cezanın üçte birden yarıya kadar indirilmesi gerekir.</w:t>
      </w:r>
    </w:p>
    <w:p>
      <w:pPr>
        <w:jc w:val="both"/>
        <w:spacing w:after="120" w:line="276" w:lineRule="auto"/>
      </w:pPr>
      <w:r>
        <w:t xml:space="preserve">13. </w:t>
      </w:r>
      <w:r>
        <w:rPr>
          <w:b/>
          <w:bCs/>
        </w:rPr>
        <w:t xml:space="preserve">Her tahsilatın ayrı suç sayılması:</w:t>
      </w:r>
      <w:r>
        <w:t xml:space="preserve"> Mütalaada [... adet] makbuz için ayrı ayrı ceza istenmiştir. Eylemlerin tamamı aynı kurumun aynı kasasına ilişkin olup tek bir kararın icrası kapsamında kalmaktadır; TCK 43/1 uyarınca tek ceza verilmeli ve artırım alt orandan yapılmalıdır.</w:t>
      </w:r>
    </w:p>
    <w:p>
      <w:pPr>
        <w:jc w:val="both"/>
        <w:spacing w:after="120" w:line="276" w:lineRule="auto"/>
      </w:pPr>
      <w:r>
        <w:t xml:space="preserve">14. </w:t>
      </w:r>
      <w:r>
        <w:rPr>
          <w:b/>
          <w:bCs/>
        </w:rPr>
        <w:t xml:space="preserve">Hukuka aykırı deliller:</w:t>
      </w:r>
      <w:r>
        <w:t xml:space="preserve"> [İletişim dinleme kaydı varsa:] TCK 247'deki zimmet, iletişimin dinlenebileceği suçlar arasında sayılmamıştır; CMK 135/8 yalnız Bankalar Kanunu'ndaki zimmeti kapsar. Bu suç için yapılan dinleme ve başka soruşturmadan aktarılan kayıtlar (CMK 138/2) CMK 206/2-a ve 217/2 uyarınca hükme esas alınamaz. Sanığın müfettiş önünde verdiği beyan bir idari soruşturma beyanıdır; şüpheli hakları hatırlatılmadan alınan bu beyan ceza yargılamasında tek başına dayanak yapılamaz. Kolluk ifadesi müdafi olmadan alınmışsa ve duruşmada doğrulanmamışsa CMK 148/4 uyarınca hükme esas alınamaz.</w:t>
      </w:r>
    </w:p>
    <w:p>
      <w:pPr>
        <w:jc w:val="both"/>
        <w:spacing w:after="120" w:line="276" w:lineRule="auto"/>
      </w:pPr>
      <w:r>
        <w:t xml:space="preserve">15. </w:t>
      </w:r>
      <w:r>
        <w:rPr>
          <w:b/>
          <w:bCs/>
        </w:rPr>
        <w:t xml:space="preserve">Cezanın belirlenmesi:</w:t>
      </w:r>
      <w:r>
        <w:t xml:space="preserve"> Sanık [... yıl] boyunca disiplin cezası almadan görev yapmıştır [hizmet belgesi], adli sicil kaydı yoktur. Temel ceza TCK 61'deki ölçütlere göre alt sınırdan belirlenmeli, TCK 62 indirimi uygulanmalıdır. TCK 53/5'teki yasaklama süresi alt sınırdan, yani hükmolunan cezanın yarısı oranında belirlenmelidir. Uygulanacak indirimlerle sonuç ceza iki yılı geçmezse ve zarar giderilmişse hükmün açıklanmasının geri bırakılması (CMK 231/5-6) mümkündür.</w:t>
      </w:r>
    </w:p>
    <w:p>
      <w:pPr>
        <w:jc w:val="both"/>
        <w:spacing w:after="120" w:line="276" w:lineRule="auto"/>
      </w:pPr>
      <w:r>
        <w:rPr>
          <w:b/>
          <w:bCs/>
        </w:rPr>
        <w:t xml:space="preserve">HUKUKİ NEDENLER:</w:t>
      </w:r>
      <w:r>
        <w:t xml:space="preserve"> TCK m.6/1-c, 43, 53, 61, 62, 155/2, 247, 248, 249, 257; CMK m.63, 67, 135, 138, 148/4, 206, 216, 217, 223, 226, 231; 3628 sayılı Kanun m.17; 4483 sayılı Kanun; 5018 sayılı Kanun m.71 ve ilgili mevzuat.</w:t>
      </w:r>
    </w:p>
    <w:p>
      <w:pPr>
        <w:jc w:val="both"/>
        <w:spacing w:after="120" w:line="276" w:lineRule="auto"/>
      </w:pPr>
      <w:r>
        <w:rPr>
          <w:b/>
          <w:bCs/>
        </w:rPr>
        <w:t xml:space="preserve">DELİLLER:</w:t>
      </w:r>
      <w:r>
        <w:t xml:space="preserve"> Kasa sayım ve devir-teslim tutanakları, makbuz koçanları, tahsilat programının kullanıcı ve işlem kayıtları (log), görev dağılım çizelgesi, müfettiş ve bilirkişi raporları, [uzman mütalaası], sanığın ve eşinin hesap hareketleri, [ödeme dekontu ve kurum yazısı], hizmet belgesi, [tanık beyanları], [varsa emsal karar künyesi].</w:t>
      </w:r>
    </w:p>
    <w:p>
      <w:pPr>
        <w:jc w:val="both"/>
        <w:spacing w:after="120" w:line="276" w:lineRule="auto"/>
      </w:pPr>
      <w:r>
        <w:rPr>
          <w:b/>
          <w:bCs/>
        </w:rPr>
        <w:t xml:space="preserve">SONUÇ VE İSTEM:</w:t>
      </w:r>
      <w:r>
        <w:t xml:space="preserve"> Yukarıda arz edilen sebeplerle;</w:t>
      </w:r>
    </w:p>
    <w:p>
      <w:pPr>
        <w:jc w:val="both"/>
        <w:spacing w:after="120" w:line="276" w:lineRule="auto"/>
      </w:pPr>
      <w:r>
        <w:t xml:space="preserve">1. </w:t>
      </w:r>
      <w:r>
        <w:t xml:space="preserve">Hükümden önce; inceleme dönemine ait kasa sayım ve devir-teslim tutanaklarının, makbuz koçanlarının, tahsilat programının kullanıcı ve işlem kayıtlarının ve görev dağılım çizelgesinin kurumdan getirtilmesine, bu belgeler ve sanığın itirazları da değerlendirilerek yeni bir mali bilirkişi heyetinden rapor alınmasına, sanığın ve yakınlarının hesap hareketlerinin incelenmesine, [kasayı ortak kullanan [ad]ın tanık olarak dinlenmesine],</w:t>
      </w:r>
    </w:p>
    <w:p>
      <w:pPr>
        <w:jc w:val="both"/>
        <w:spacing w:after="120" w:line="276" w:lineRule="auto"/>
      </w:pPr>
      <w:r>
        <w:t xml:space="preserve">2. </w:t>
      </w:r>
      <w:r>
        <w:t xml:space="preserve">Suçun sanık tarafından işlendiği sabit olmadığından CMK 223/2-e, [sanık kamu görevlisi olmadığından ya da mal görev nedeniyle kendisine teslim edilmediğinden CMK 223/2-a], [kast bulunmadığından CMK 223/2-c] uyarınca BERAATİNE,</w:t>
      </w:r>
    </w:p>
    <w:p>
      <w:pPr>
        <w:jc w:val="both"/>
        <w:spacing w:after="120" w:line="276" w:lineRule="auto"/>
      </w:pPr>
      <w:r>
        <w:t xml:space="preserve">3. </w:t>
      </w:r>
      <w:r>
        <w:t xml:space="preserve">Mahkemeniz aksi kanaatte ise terditli olarak; eylemin TCK 257 kapsamında nitelendirilmesi hâlinde soruşturma izni bulunmadığından CMK 223/8 uyarınca durma kararı verilmesine, [sanık kamu görevlisi değilse eylemin TCK 155/2 kapsamında değerlendirilmesine; zarar gören gerçek kişi veya özel hukuk tüzel kişisiyse dosyanın CMK 254 uyarınca uzlaştırma bürosuna gönderilmesine], TCK 247/2 artırımının uygulanmamasına, [TCK 247/3 ve 249 indirimlerinin uygulanmasına],</w:t>
      </w:r>
    </w:p>
    <w:p>
      <w:pPr>
        <w:jc w:val="both"/>
        <w:spacing w:after="120" w:line="276" w:lineRule="auto"/>
      </w:pPr>
      <w:r>
        <w:t xml:space="preserve">4. </w:t>
      </w:r>
      <w:r>
        <w:t xml:space="preserve">Eylemler için ayrı ayrı ceza verilmeyerek TCK 43/1 uyarınca tek ceza tayinine ve artırımın alt orandan yapılmasına,</w:t>
      </w:r>
    </w:p>
    <w:p>
      <w:pPr>
        <w:jc w:val="both"/>
        <w:spacing w:after="120" w:line="276" w:lineRule="auto"/>
      </w:pPr>
      <w:r>
        <w:t xml:space="preserve">5. </w:t>
      </w:r>
      <w:r>
        <w:t xml:space="preserve">Temel cezanın alt sınırdan belirlenmesine, TCK 248'deki indirimin ödeme tarihine uygun oranda ve TCK 62 indiriminin uygulanmasına,</w:t>
      </w:r>
    </w:p>
    <w:p>
      <w:pPr>
        <w:jc w:val="both"/>
        <w:spacing w:after="120" w:line="276" w:lineRule="auto"/>
      </w:pPr>
      <w:r>
        <w:t xml:space="preserve">6. </w:t>
      </w:r>
      <w:r>
        <w:t xml:space="preserve">TCK 53/5 uyarınca yasaklama süresinin alt sınırdan belirlenmesine,</w:t>
      </w:r>
    </w:p>
    <w:p>
      <w:pPr>
        <w:jc w:val="both"/>
        <w:spacing w:after="120" w:line="276" w:lineRule="auto"/>
      </w:pPr>
      <w:r>
        <w:t xml:space="preserve">7. </w:t>
      </w:r>
      <w:r>
        <w:t xml:space="preserve">Sonuç ceza iki yılı geçmezse hükmün açıklanmasının geri bırakılmasına; bu mümkün olmazsa cezanın ertelenmesine,</w:t>
      </w:r>
    </w:p>
    <w:p>
      <w:pPr>
        <w:jc w:val="both"/>
        <w:spacing w:after="120" w:line="276" w:lineRule="auto"/>
      </w:pPr>
      <w:r>
        <w:t xml:space="preserve">8. </w:t>
      </w:r>
      <w:r>
        <w:t xml:space="preserve">[Sanık tutuklu ise: Tahliyesine, gerekirse adli kontrol tedbiri uygulanmasına],</w:t>
      </w:r>
    </w:p>
    <w:p>
      <w:pPr>
        <w:jc w:val="both"/>
        <w:spacing w:after="120" w:line="276" w:lineRule="auto"/>
      </w:pPr>
      <w:r>
        <w:t xml:space="preserve">karar verilmesini saygılarımla arz ve talep ederim.</w:t>
      </w:r>
    </w:p>
    <w:p>
      <w:pPr>
        <w:jc w:val="right"/>
        <w:spacing w:after="120" w:line="276" w:lineRule="auto"/>
      </w:pPr>
      <w:r>
        <w:t xml:space="preserve">[gg.aa.2026]</w:t>
      </w:r>
    </w:p>
    <w:p>
      <w:pPr>
        <w:jc w:val="right"/>
        <w:spacing w:after="120" w:line="276" w:lineRule="auto"/>
      </w:pPr>
      <w:r>
        <w:t xml:space="preserve">Sanık [Ad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[Görev tanımı, görevlendirme onayı ve görev dağılım çizelgesi]</w:t>
      </w:r>
    </w:p>
    <w:p>
      <w:pPr>
        <w:jc w:val="both"/>
        <w:spacing w:after="120" w:line="276" w:lineRule="auto"/>
      </w:pPr>
      <w:r>
        <w:t xml:space="preserve">2. </w:t>
      </w:r>
      <w:r>
        <w:t xml:space="preserve">[Makbuz, sistem kaydı ve arıza bildirimi örnekleri]</w:t>
      </w:r>
    </w:p>
    <w:p>
      <w:pPr>
        <w:jc w:val="both"/>
        <w:spacing w:after="120" w:line="276" w:lineRule="auto"/>
      </w:pPr>
      <w:r>
        <w:t xml:space="preserve">3. </w:t>
      </w:r>
      <w:r>
        <w:t xml:space="preserve">[Uzman mütalaası (CMK 67/6)]</w:t>
      </w:r>
    </w:p>
    <w:p>
      <w:pPr>
        <w:jc w:val="both"/>
        <w:spacing w:after="120" w:line="276" w:lineRule="auto"/>
      </w:pPr>
      <w:r>
        <w:t xml:space="preserve">4. </w:t>
      </w:r>
      <w:r>
        <w:t xml:space="preserve">[Ödeme dekontu ve zararın giderildiğine ilişkin kurum yazısı]</w:t>
      </w:r>
    </w:p>
    <w:p>
      <w:pPr>
        <w:jc w:val="both"/>
        <w:spacing w:after="120" w:line="276" w:lineRule="auto"/>
      </w:pPr>
      <w:r>
        <w:t xml:space="preserve">5. </w:t>
      </w:r>
      <w:r>
        <w:t xml:space="preserve">[Hizmet belgesi, adli sicil kaydı, aile durumunu gösteren belgeler]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