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 birleşen dosya nedeniyle ağır cezada görülüyorsa AĞIR CEZA MAHKEMESİ BAŞKANLIĞINA; davetiyedeki adı aynen yazın]</w:t>
      </w:r>
    </w:p>
    <w:p>
      <w:pPr>
        <w:jc w:val="both"/>
        <w:spacing w:after="120" w:line="276" w:lineRule="auto"/>
      </w:pPr>
      <w:r>
        <w:rPr>
          <w:b/>
          <w:bCs/>
        </w:rPr>
        <w:t xml:space="preserve">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[Kart sahibinin adı soyadı] [varsa: ve kartı çıkaran bankanın unvanı]</w:t>
      </w:r>
    </w:p>
    <w:p>
      <w:pPr>
        <w:jc w:val="both"/>
        <w:spacing w:after="120" w:line="276" w:lineRule="auto"/>
      </w:pPr>
      <w:r>
        <w:rPr>
          <w:b/>
          <w:bCs/>
        </w:rPr>
        <w:t xml:space="preserve">SUÇ:</w:t>
      </w:r>
      <w:r>
        <w:t xml:space="preserve"> Banka veya kredi kartlarının kötüye kullanılması [TCK 245/1 / 245/2 / 245/3; mütalaada istenmişse TCK 43 ve 158/1-f]</w:t>
      </w:r>
    </w:p>
    <w:p>
      <w:pPr>
        <w:jc w:val="both"/>
        <w:spacing w:after="120" w:line="276" w:lineRule="auto"/>
      </w:pPr>
      <w:r>
        <w:rPr>
          <w:b/>
          <w:bCs/>
        </w:rPr>
        <w:t xml:space="preserve">MÜTALAA TARİHİ:</w:t>
      </w:r>
      <w:r>
        <w:t xml:space="preserve"> [gg.aa.2026] tarihli celsede Cumhuriyet savcısının açıkladığı esas hakkındaki mütalaa</w:t>
      </w:r>
    </w:p>
    <w:p>
      <w:pPr>
        <w:jc w:val="both"/>
        <w:spacing w:after="120" w:line="276" w:lineRule="auto"/>
      </w:pPr>
      <w:r>
        <w:rPr>
          <w:b/>
          <w:bCs/>
        </w:rPr>
        <w:t xml:space="preserve">KONU:</w:t>
      </w:r>
      <w:r>
        <w:t xml:space="preserve"> Kart kullanımına ilişkin mütalaaya karşı yazılı savunmalarımız, banka ve kamera kayıtlarının getirtilmesi talebimiz ve hükme ilişkin terditli taleplerimizdir.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dayanağı:</w:t>
      </w:r>
      <w:r>
        <w:t xml:space="preserve"> Savcılık, müştekiye [banka adı] tarafından verilen ve son dört hanesi [....] olan [banka kartı / kredi kartı] ile [gg.aa.20..] ve [gg.aa.20..] tarihleri arasında [... adet] işlemle toplam [tutar] TL harcama yapıldığını, bu işlemleri sanığın kart sahibinin rızası olmadan yaptığını kabul etmiş ve TCK 245/[1] uyarınca [her işlem için ayrı ayrı / zincirleme suç hükümleriyle] cezalandırma istemiştir. Mütalaa [hesap ekstresi], [işyeri ya da ATM kamera görüntüsü tutanağı] ve [müşteki beyanı] üzerine kuruludur. Bu deliller; kartın kimin elinde olduğunu, kimin kullandığını ve kullanımın rızaya aykırı olduğunu birlikte ispat etmemektedir.</w:t>
      </w:r>
    </w:p>
    <w:p>
      <w:pPr>
        <w:jc w:val="both"/>
        <w:spacing w:after="120" w:line="276" w:lineRule="auto"/>
      </w:pPr>
      <w:r>
        <w:t xml:space="preserve">2. </w:t>
      </w:r>
      <w:r>
        <w:rPr>
          <w:b/>
          <w:bCs/>
        </w:rPr>
        <w:t xml:space="preserve">Kartın başkasına ait olması:</w:t>
      </w:r>
      <w:r>
        <w:t xml:space="preserve"> TCK 245/1'in ilk unsuru, kullanılan kartın sanıktan başka birine ait bir banka veya kredi kartı olmasıdır. [Dosyanıza göre: Kart, sanık ile müştekinin ortak hesabına bağlı olup sanık adına düzenlenmiş ek karttır / kart sanığın kendi hesabına bağlıdır / suça konu araç bir banka veya kredi kartı değil, [yemek kartı / mağaza hediye kartı / ulaşım kartı] niteliğindedir.] Kendi adına düzenlenmiş kartı kullanan kişi bakımından 245/1 uygulanamaz. Kanunda sayılmayan bir ödeme aracını banka veya kredi kartı saymak, ceza hükümlerinde kıyas yasağına (TCK 2/3) aykırıdır.</w:t>
      </w:r>
    </w:p>
    <w:p>
      <w:pPr>
        <w:jc w:val="both"/>
        <w:spacing w:after="120" w:line="276" w:lineRule="auto"/>
      </w:pPr>
      <w:r>
        <w:t xml:space="preserve">3. </w:t>
      </w:r>
      <w:r>
        <w:rPr>
          <w:b/>
          <w:bCs/>
        </w:rPr>
        <w:t xml:space="preserve">Kartın ele geçirilmesi veya elde bulundurulması:</w:t>
      </w:r>
      <w:r>
        <w:t xml:space="preserve"> Kanun, kartın "her ne suretle olursa olsun" ele geçirilmesini ya da elde bulundurulmasını yeterli görür; ama bu unsurun da delille gösterilmesi gerekir. Dosyada kartın sanıkta bulunduğuna ilişkin arama, el koyma ya da teslim tutanağı yoktur. Kartın kaybolduğu ileri sürülen [gg.aa.20..] tarihinde sanık [başka bir ilde / işyerinde vardiyada] bulunmaktadır [puantaj kaydı / yol bileti / tanık]. Kartın fiziken kimde olduğu belirlenmeden, ekstrede görünen işlemler sanığa yüklenemez.</w:t>
      </w:r>
    </w:p>
    <w:p>
      <w:pPr>
        <w:jc w:val="both"/>
        <w:spacing w:after="120" w:line="276" w:lineRule="auto"/>
      </w:pPr>
      <w:r>
        <w:t xml:space="preserve">4. </w:t>
      </w:r>
      <w:r>
        <w:rPr>
          <w:b/>
          <w:bCs/>
        </w:rPr>
        <w:t xml:space="preserve">Kart sahibinin rızasının bulunmaması:</w:t>
      </w:r>
      <w:r>
        <w:t xml:space="preserve"> Suçun belirleyici unsuru, kullanımın kart sahibinin ya da kartın kendisine verilmesi gereken kişinin rızası dışında yapılmasıdır. Müşteki kartını [ve şifresini] sanığa [gg.aa.20..] tarihinde [market alışverişi / fatura ödemesi / ortak ev giderleri] için kendisi vermiştir ve yapılan harcamalar bu amacın içinde kalmıştır [ekstre]. Bu durum [tarih ve saati görünen yazışmalar], [tanık beyanı] ve müştekinin [gg.aa.20..] tarihli ifadesinin [..]. sayfasındaki kabulüyle sabittir. Taraflar arasında [ayrılık / alacak uyuşmazlığı] çıktıktan sonra yapılan şikâyet, kullanım anında var olan rızayı geriye dönük olarak ortadan kaldırmaz.</w:t>
      </w:r>
    </w:p>
    <w:p>
      <w:pPr>
        <w:jc w:val="both"/>
        <w:spacing w:after="120" w:line="276" w:lineRule="auto"/>
      </w:pPr>
      <w:r>
        <w:t xml:space="preserve">5. </w:t>
      </w:r>
      <w:r>
        <w:rPr>
          <w:b/>
          <w:bCs/>
        </w:rPr>
        <w:t xml:space="preserve">Kullanma ve yarar sağlama:</w:t>
      </w:r>
      <w:r>
        <w:t xml:space="preserve"> Suç, kartın kullanılması ya da kullandırılması yoluyla bir yarar elde edildiğinde tamamlanır. Ekstrede gösterilen [... adet] işlemden [... adedi] banka tarafından reddedilmiş, [... adedi] işyerince iade edilmiştir [banka yazısı]. Reddedilen işlemlerde yarar sağlanmamıştır; bu işlemler en fazla teşebbüs aşamasında kalır ve TCK 35/2 uyarınca indirim gerektirir. Hangi işlemin sonuç doğurduğu, banka yazısı alınmadan belirlenemez.</w:t>
      </w:r>
    </w:p>
    <w:p>
      <w:pPr>
        <w:jc w:val="both"/>
        <w:spacing w:after="120" w:line="276" w:lineRule="auto"/>
      </w:pPr>
      <w:r>
        <w:t xml:space="preserve">6. </w:t>
      </w:r>
      <w:r>
        <w:rPr>
          <w:b/>
          <w:bCs/>
        </w:rPr>
        <w:t xml:space="preserve">Kast ve hata:</w:t>
      </w:r>
      <w:r>
        <w:t xml:space="preserve"> Sanık, kartın [müştekinin eşi / annesi / iş ortağı] tarafından kart sahibinin bilgisi dahilinde kendisine verildiğini düşünerek hareket etmiştir [yazışma / tanık]. Fiilin işlendiği sırada rızanın bulunmadığını bilmeyen kişi kasten hareket etmiş sayılmaz (TCK 30/1). Bu suçun taksirli hâli kanunda yer almadığından, hata hâlinde beraat gerekir.</w:t>
      </w:r>
    </w:p>
    <w:p>
      <w:pPr>
        <w:jc w:val="both"/>
        <w:spacing w:after="120" w:line="276" w:lineRule="auto"/>
      </w:pPr>
      <w:r>
        <w:t xml:space="preserve">7. </w:t>
      </w:r>
      <w:r>
        <w:rPr>
          <w:b/>
          <w:bCs/>
        </w:rPr>
        <w:t xml:space="preserve">Failin kimliği ve kamera kayıtları:</w:t>
      </w:r>
      <w:r>
        <w:t xml:space="preserve"> Mütalaa, kolluğun [gg.aa.20..] tarihli görüntü izleme tutanağına dayanmaktadır; ham kayıt dosyaya getirilmemiştir. Tutanağa eklenen karelerde kişinin yüzü [şapka / maske / uzak açı] nedeniyle seçilememektedir. POS cihazının işlem saati ile kameranın saat damgası arasındaki fark araştırılmamış, aynı dakikalarda kasada bulunan başka müşteriler belirlenmemiştir. Bu hâliyle görüntü, harcamayı sanığın yaptığını göstermemektedir.</w:t>
      </w:r>
    </w:p>
    <w:p>
      <w:pPr>
        <w:jc w:val="both"/>
        <w:spacing w:after="120" w:line="276" w:lineRule="auto"/>
      </w:pPr>
      <w:r>
        <w:t xml:space="preserve">8. </w:t>
      </w:r>
      <w:r>
        <w:rPr>
          <w:b/>
          <w:bCs/>
        </w:rPr>
        <w:t xml:space="preserve">İnternet ve temassız işlemler:</w:t>
      </w:r>
      <w:r>
        <w:t xml:space="preserve"> [İşlemler internet üzerinden yapıldıysa:] İşlemin yapıldığı IP adresi, cihaz bilgisi, siparişin teslimat adresi ve 3D Secure doğrulama kodunun gönderildiği telefon numarası bankadan ve üye işyerinden sorulmamıştır. Teslimat [sanığın adresine değil, [...] adresine] yapılmıştır. Bu bilgiler sanığı göstermedikçe yalnız kartın sanığın yakın çevresinde bulunması mahkûmiyete dayanak olamaz.</w:t>
      </w:r>
    </w:p>
    <w:p>
      <w:pPr>
        <w:jc w:val="both"/>
        <w:spacing w:after="120" w:line="276" w:lineRule="auto"/>
      </w:pPr>
      <w:r>
        <w:t xml:space="preserve">9. </w:t>
      </w:r>
      <w:r>
        <w:t xml:space="preserve">[SEÇENEK — dosyanıza uyuyorsa kullanın: kart sahibi sanığın eşi, üstsoyu, altsoyu ya da aynı evde yaşayan kardeşiyse] Müşteki, sanığın [haklarında ayrılık kararı bulunmayan eşi / annesi / babası / çocuğu / kayınvalidesi / aynı konutta yaşayan kardeşi]dir [nüfus kayıt örneği ve yerleşim yeri belgesi ekte]. TCK 245/4 uyarınca 245/1'deki suç bu kişilerin zararına işlendiğinde ilgili akraba hakkında cezaya hükmolunmaz. Sanık hakkında CMK 223/4-b uyarınca ceza verilmesine yer olmadığına karar verilmelidir.</w:t>
      </w:r>
    </w:p>
    <w:p>
      <w:pPr>
        <w:jc w:val="both"/>
        <w:spacing w:after="120" w:line="276" w:lineRule="auto"/>
      </w:pPr>
      <w:r>
        <w:t xml:space="preserve">10. </w:t>
      </w:r>
      <w:r>
        <w:t xml:space="preserve">[SEÇENEK — dosyanıza uyuyorsa kullanın: kart belirli bir iş için verildi, iznin sınırı belirsizse] Kart sanığa müştekinin kendi eliyle [fatura ödemesi / iş yeri alışverişi] için verilmiştir [yazışma / tanık]. Kullanımın hangi tutar ve hangi harcamalarla sınırlı olduğu yazılı ya da sözlü olarak belirlenmemiştir; müşteki önceki [benzer harcamalara] itiraz etmemiştir [ekstre]. TCK 245/1 kullanımın kart sahibinin rızası dışında yapılmasını arar; rızanın kapsamı belirsiz kaldıkça harcamanın rızaya aykırı olduğu ispatlanmış sayılamaz. Sanık harcamanın verilen izin içinde kaldığını düşünerek hareket etmiştir; rızanın bulunmadığını bilmeyen kişi kasten hareket etmiş sayılmaz (TCK 30/1).</w:t>
      </w:r>
    </w:p>
    <w:p>
      <w:pPr>
        <w:jc w:val="both"/>
        <w:spacing w:after="120" w:line="276" w:lineRule="auto"/>
      </w:pPr>
      <w:r>
        <w:t xml:space="preserve">11. </w:t>
      </w:r>
      <w:r>
        <w:t xml:space="preserve">[SEÇENEK — dosyanıza uyuyorsa kullanın: sanık kendi kartını ya da hesap bilgisini başkasına verdiyse] Sanık başkasına ait bir kartı kullanmamış, kendi adına düzenlenmiş [kartı / hesap bilgilerini] [iş teklifi / kredi vaadi] üzerine [kişi]ye vermiştir [ilan, yazışma ve ödeme kayıtları ekte]. Bu fiil 245'in hiçbir fıkrasına uymaz. Kartın bir dolandırıcılıkta kullanıldığı ve sanığın bunu bildiği ispat edilse dahi sanığın katkısı kart ya da hesap bilgisini vermekle sınırlıdır; TCK 158/4 uyarınca ceza yarı oranında indirilmelidir. Sanık kandırıldığı için kastı yoktur ve beraati gerekir.</w:t>
      </w:r>
    </w:p>
    <w:p>
      <w:pPr>
        <w:jc w:val="both"/>
        <w:spacing w:after="120" w:line="276" w:lineRule="auto"/>
      </w:pPr>
      <w:r>
        <w:t xml:space="preserve">12. </w:t>
      </w:r>
      <w:r>
        <w:t xml:space="preserve">[SEÇENEK — dosyanıza uyuyorsa kullanın: mütalaada 245/2 veya 245/3 istendiyse] 245/3, sahte oluşturulmuş ya da üzerinde sahtecilik yapılmış bir kartın kullanılmasını, 245/2 ise başkalarına ait banka hesaplarıyla ilişkilendirilerek sahte kart üretilmesini, satılmasını, devredilmesini, satın alınmasını veya kabul edilmesini arar. Dosyada sahte kart ele geçirilmemiş, kartın sahte olduğu ya da manyetik şerit veya çip verisinin kopyalandığı bilirkişi raporuyla tespit edilmemiştir. Kopyalama cihazı (TCK 245/A) da bulunmamıştır. Bu fıkraların ağır cezası, sahteciliğin somut delille gösterilmesi şartına bağlıdır; eylem en fazla 245/1 kapsamında tartışılabilir.</w:t>
      </w:r>
    </w:p>
    <w:p>
      <w:pPr>
        <w:jc w:val="both"/>
        <w:spacing w:after="120" w:line="276" w:lineRule="auto"/>
      </w:pPr>
      <w:r>
        <w:t xml:space="preserve">13. </w:t>
      </w:r>
      <w:r>
        <w:t xml:space="preserve">[SEÇENEK — dosyanıza uyuyorsa kullanın: aynı harcamalar için hem 245 hem 158/1-f istendiyse] Mütalaada aynı harcamalar hem nitelikli dolandırıcılık (TCK 158/1-f) hem de kart kötüye kullanma suçu olarak ayrı ayrı cezalandırılmak istenmiştir. Müştekinin zararı tek bir harcama dizisinden doğmuştur; aynı ekonomik kaybın iki ayrı suçun hem zararı hem yararı sayılarak iki kez cezalandırılması mümkün değildir. Tek fiille birden fazla suç oluştuğu kabul edilirse TCK 44 uyarınca yalnız en ağır cezayı gerektiren suçtan hüküm kurulmalıdır.</w:t>
      </w:r>
    </w:p>
    <w:p>
      <w:pPr>
        <w:jc w:val="both"/>
        <w:spacing w:after="120" w:line="276" w:lineRule="auto"/>
      </w:pPr>
      <w:r>
        <w:t xml:space="preserve">14. </w:t>
      </w:r>
      <w:r>
        <w:rPr>
          <w:b/>
          <w:bCs/>
        </w:rPr>
        <w:t xml:space="preserve">Her işlemin ayrı suç sayılması:</w:t>
      </w:r>
      <w:r>
        <w:t xml:space="preserve"> Mütalaada [... adet] harcama için ayrı ayrı ceza istenmiştir. Oysa işlemlerin tamamı aynı kartla, aynı kart sahibine karşı, [... gün] içinde ve tek bir kararın icrası kapsamında yapılmıştır. Bu durumda TCK 43/1 uyarınca tek ceza verilir ve bu ceza dörtte birden dörtte üçe kadar artırılır; işlem sayısı ve tutar düşük olduğundan artırım alt orandan yapılmalıdır. [Aynı işyerinde birkaç dakika içinde art arda yapılan işlemler ise tek bir kullanım iradesinin parçalarıdır; bunları ayrı suç gibi saymak cezayı yapay biçimde büyütür.]</w:t>
      </w:r>
    </w:p>
    <w:p>
      <w:pPr>
        <w:jc w:val="both"/>
        <w:spacing w:after="120" w:line="276" w:lineRule="auto"/>
      </w:pPr>
      <w:r>
        <w:t xml:space="preserve">15. </w:t>
      </w:r>
      <w:r>
        <w:rPr>
          <w:b/>
          <w:bCs/>
        </w:rPr>
        <w:t xml:space="preserve">Hukuka aykırı deliller:</w:t>
      </w:r>
      <w:r>
        <w:t xml:space="preserve"> [İletişim dinleme kaydı varsa:] Kart kötüye kullanma suçu, iletişimin dinlenip kayda alınabileceği suçlar listesinde (CMK 135/8) yer almamaktadır. Bu suç için yapılan dinleme ve kayıt hukuka aykırıdır; başka bir soruşturmada tesadüfen elde edilen kayıt da yalnız kanunda sayılan katalog suçlarda kullanılabilir (CMK 138/2). Bu kayıtlar ve bunlardan türetilen tutanaklar CMK 206/2-a ve 217/2 uyarınca hükme esas alınamaz. Sanığın [gg.aa.20..] tarihli kolluk ifadesi müdafi olmadan alınmış ve duruşmada doğrulanmamıştır; CMK 148/4 uyarınca delil değeri yoktur.</w:t>
      </w:r>
    </w:p>
    <w:p>
      <w:pPr>
        <w:jc w:val="both"/>
        <w:spacing w:after="120" w:line="276" w:lineRule="auto"/>
      </w:pPr>
      <w:r>
        <w:t xml:space="preserve">16. </w:t>
      </w:r>
      <w:r>
        <w:rPr>
          <w:b/>
          <w:bCs/>
        </w:rPr>
        <w:t xml:space="preserve">Zararın giderilmesi ve etkin pişmanlık:</w:t>
      </w:r>
      <w:r>
        <w:t xml:space="preserve"> TCK 245/5, birinci fıkradaki fiiller için malvarlığına karşı suçlardaki etkin pişmanlık hükümlerinin uygulanacağını belirtir. Sanık [gg.aa.2026] tarihinde [tutar] TL ödeyerek zararın tamamını gidermiştir [dekont]. Harcama tutarını banka müşteriye iade ettiyse asıl zarar bankaya geçmiştir; ödeme [bankaya / kart sahibine] yapılmış ve [banka yazısıyla / müşteki beyanıyla] zararın kalmadığı teyit edilmiştir. Ödeme kovuşturma başladıktan sonra ve hükümden önce yapıldığından TCK 168/2 uyarınca cezanın yarısına kadar indirim uygulanmalıdır. [Ödeme iddianamenin kabulünden önce yapıldıysa TCK 168/1 uyarınca üçte ikiye kadar indirim.] [Kısmi ödemede müştekinin rızası TCK 168/4 gereği ekte sunulmuştur.] Zarar tamamen giderildiğinden indirim en üst orandan yapılmalıdır.</w:t>
      </w:r>
    </w:p>
    <w:p>
      <w:pPr>
        <w:jc w:val="both"/>
        <w:spacing w:after="120" w:line="276" w:lineRule="auto"/>
      </w:pPr>
      <w:r>
        <w:t xml:space="preserve">17. </w:t>
      </w:r>
      <w:r>
        <w:rPr>
          <w:b/>
          <w:bCs/>
        </w:rPr>
        <w:t xml:space="preserve">Cezanın belirlenmesi:</w:t>
      </w:r>
      <w:r>
        <w:t xml:space="preserve"> Sanığın adli sicil kaydı [bulunmamaktadır / eskidir]; harcama tutarı [tutar] TL olup sınırlıdır ve zarar giderilmiştir. Temel hapis cezası ile adli para cezasının gün sayısı TCK 61'deki ölçütlere göre alt sınırdan belirlenmeli, sanığın yargılama boyunca gösterdiği tutum nedeniyle TCK 62 indirimi uygulanmalıdır. Bu indirimler uygulandığında sonuç ceza iki yılın altında kalacağından ve zarar giderildiğinden, hükmün açıklanmasının geri bırakılması için CMK 231/5 ve 231/6'daki şartlar oluşmaktadır.</w:t>
      </w:r>
    </w:p>
    <w:p>
      <w:pPr>
        <w:jc w:val="both"/>
        <w:spacing w:after="120" w:line="276" w:lineRule="auto"/>
      </w:pPr>
      <w:r>
        <w:rPr>
          <w:b/>
          <w:bCs/>
        </w:rPr>
        <w:t xml:space="preserve">HUKUKİ NEDENLER:</w:t>
      </w:r>
      <w:r>
        <w:t xml:space="preserve"> TCK m.2/3, 30, 35, 43, 44, 61, 62, 158/4, 168, 245, 245/A; CMK m.135, 138, 148/4, 206, 216, 217, 223, 226, 231 ve ilgili mevzuat.</w:t>
      </w:r>
    </w:p>
    <w:p>
      <w:pPr>
        <w:jc w:val="both"/>
        <w:spacing w:after="120" w:line="276" w:lineRule="auto"/>
      </w:pPr>
      <w:r>
        <w:rPr>
          <w:b/>
          <w:bCs/>
        </w:rPr>
        <w:t xml:space="preserve">DELİLLER:</w:t>
      </w:r>
      <w:r>
        <w:t xml:space="preserve"> Bankadan alınacak işlem dökümü ve yazı (onaylanan, reddedilen ve iade edilen işlemler; IP, cihaz ve 3D Secure bilgileri), üye işyeri ve ATM kameralarının ham kayıtları, POS saat kayıtları, [taraflar arasındaki yazışmalar], [tanık beyanları], [nüfus kayıt örneği], [ödeme dekontu ve müşteki beyanı], adli sicil kaydı, [varsa emsal karar künyesi].</w:t>
      </w:r>
    </w:p>
    <w:p>
      <w:pPr>
        <w:jc w:val="both"/>
        <w:spacing w:after="120" w:line="276" w:lineRule="auto"/>
      </w:pPr>
      <w:r>
        <w:rPr>
          <w:b/>
          <w:bCs/>
        </w:rPr>
        <w:t xml:space="preserve">SONUÇ VE İSTEM:</w:t>
      </w:r>
      <w:r>
        <w:t xml:space="preserve"> Yukarıda arz edilen sebeplerle;</w:t>
      </w:r>
    </w:p>
    <w:p>
      <w:pPr>
        <w:jc w:val="both"/>
        <w:spacing w:after="120" w:line="276" w:lineRule="auto"/>
      </w:pPr>
      <w:r>
        <w:t xml:space="preserve">1. </w:t>
      </w:r>
      <w:r>
        <w:t xml:space="preserve">Hükümden önce; suça konu karta ait bütün işlemlerin onay, ret ve iade durumunu, internet işlemlerinin IP adresi, cihaz ve teslimat bilgilerini ve 3D Secure kodunun gönderildiği hattı gösterir banka ve üye işyeri yazılarının getirtilmesine, işyeri ve ATM kameralarının ham kayıtlarının bilirkişiye incelettirilmesine (yüz ve beden karşılaştırması, saat damgası doğrulaması), [kartın sahibince verildiğini bilen [tanık adı]nın dinlenmesine],</w:t>
      </w:r>
    </w:p>
    <w:p>
      <w:pPr>
        <w:jc w:val="both"/>
        <w:spacing w:after="120" w:line="276" w:lineRule="auto"/>
      </w:pPr>
      <w:r>
        <w:t xml:space="preserve">2. </w:t>
      </w:r>
      <w:r>
        <w:t xml:space="preserve">Kartın sanık tarafından kullanıldığı sabit olmadığından CMK 223/2-e, [rıza bulunduğundan ya da kart sanığa ait olduğundan CMK 223/2-a], [kast bulunmadığından CMK 223/2-c] uyarınca BERAATİNE,</w:t>
      </w:r>
    </w:p>
    <w:p>
      <w:pPr>
        <w:jc w:val="both"/>
        <w:spacing w:after="120" w:line="276" w:lineRule="auto"/>
      </w:pPr>
      <w:r>
        <w:t xml:space="preserve">3. </w:t>
      </w:r>
      <w:r>
        <w:t xml:space="preserve">[TCK 245/4 kapsamındaysa: Sanık hakkında CMK 223/4-b uyarınca ceza verilmesine yer olmadığına,]</w:t>
      </w:r>
    </w:p>
    <w:p>
      <w:pPr>
        <w:jc w:val="both"/>
        <w:spacing w:after="120" w:line="276" w:lineRule="auto"/>
      </w:pPr>
      <w:r>
        <w:t xml:space="preserve">4. </w:t>
      </w:r>
      <w:r>
        <w:t xml:space="preserve">Mahkemeniz aksi kanaatte ise terditli olarak; [245/2 veya 245/3 yerine 245/1'in uygulanmasına], [sanığın katkısı kart ya da hesap bilgisini vermekle sınırlıysa TCK 158/4 indiriminin uygulanmasına], [reddedilen işlemler bakımından TCK 35/2 indirimi yapılmasına],</w:t>
      </w:r>
    </w:p>
    <w:p>
      <w:pPr>
        <w:jc w:val="both"/>
        <w:spacing w:after="120" w:line="276" w:lineRule="auto"/>
      </w:pPr>
      <w:r>
        <w:t xml:space="preserve">5. </w:t>
      </w:r>
      <w:r>
        <w:t xml:space="preserve">İşlemler için ayrı ayrı ceza verilmeyerek TCK 43/1 uyarınca tek ceza tayinine ve artırımın alt orandan yapılmasına; aynı harcamalar için TCK 44 gereğince tek hüküm kurulmasına,</w:t>
      </w:r>
    </w:p>
    <w:p>
      <w:pPr>
        <w:jc w:val="both"/>
        <w:spacing w:after="120" w:line="276" w:lineRule="auto"/>
      </w:pPr>
      <w:r>
        <w:t xml:space="preserve">6. </w:t>
      </w:r>
      <w:r>
        <w:t xml:space="preserve">Temel hapis ve adli para cezasının alt sınırdan belirlenmesine, TCK 168 indiriminin en üst orandan ve TCK 62 indiriminin uygulanmasına,</w:t>
      </w:r>
    </w:p>
    <w:p>
      <w:pPr>
        <w:jc w:val="both"/>
        <w:spacing w:after="120" w:line="276" w:lineRule="auto"/>
      </w:pPr>
      <w:r>
        <w:t xml:space="preserve">7. </w:t>
      </w:r>
      <w:r>
        <w:t xml:space="preserve">Hükmün açıklanmasının geri bırakılmasına; bu mümkün olmazsa cezanın ertelenmesine ya da şartları varsa seçenek yaptırımlara çevrilmesine,</w:t>
      </w:r>
    </w:p>
    <w:p>
      <w:pPr>
        <w:jc w:val="both"/>
        <w:spacing w:after="120" w:line="276" w:lineRule="auto"/>
      </w:pPr>
      <w:r>
        <w:t xml:space="preserve">8. </w:t>
      </w:r>
      <w:r>
        <w:t xml:space="preserve">[Sanık tutuklu ise: Tahliyesine, gerekirse adli kontrol tedbiri uygulanmasına],</w:t>
      </w:r>
    </w:p>
    <w:p>
      <w:pPr>
        <w:jc w:val="both"/>
        <w:spacing w:after="120" w:line="276" w:lineRule="auto"/>
      </w:pPr>
      <w:r>
        <w:t xml:space="preserve">karar verilmesini saygılarımla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[Kartın verildiğini gösteren yazışmaların tarihli çıktısı]</w:t>
      </w:r>
    </w:p>
    <w:p>
      <w:pPr>
        <w:jc w:val="both"/>
        <w:spacing w:after="120" w:line="276" w:lineRule="auto"/>
      </w:pPr>
      <w:r>
        <w:t xml:space="preserve">2. </w:t>
      </w:r>
      <w:r>
        <w:t xml:space="preserve">[Olay günü başka yerde bulunulduğunu gösteren belge: puantaj, bilet, ödeme fişi]</w:t>
      </w:r>
    </w:p>
    <w:p>
      <w:pPr>
        <w:jc w:val="both"/>
        <w:spacing w:after="120" w:line="276" w:lineRule="auto"/>
      </w:pPr>
      <w:r>
        <w:t xml:space="preserve">3. </w:t>
      </w:r>
      <w:r>
        <w:t xml:space="preserve">[Nüfus kayıt örneği ve yerleşim yeri belgesi (245/4 için)]</w:t>
      </w:r>
    </w:p>
    <w:p>
      <w:pPr>
        <w:jc w:val="both"/>
        <w:spacing w:after="120" w:line="276" w:lineRule="auto"/>
      </w:pPr>
      <w:r>
        <w:t xml:space="preserve">4. </w:t>
      </w:r>
      <w:r>
        <w:t xml:space="preserve">[Ödeme dekontu ve zararın giderildiğine ilişkin banka veya müşteki beyanı]</w:t>
      </w:r>
    </w:p>
    <w:p>
      <w:pPr>
        <w:jc w:val="both"/>
        <w:spacing w:after="120" w:line="276" w:lineRule="auto"/>
      </w:pPr>
      <w:r>
        <w:t xml:space="preserve">5. </w:t>
      </w:r>
      <w:r>
        <w:t xml:space="preserve">[Adli sicil kaydı, iş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