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 AĞIR] CEZA MAHKEMESİ [HÂKİMLİĞİNE / BAŞKANLIĞINA]</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MÜŞTEKİ / KATILAN:</w:t>
      </w:r>
      <w:r>
        <w:t xml:space="preserve"> [Ad Soyad]</w:t>
      </w:r>
    </w:p>
    <w:p>
      <w:pPr>
        <w:jc w:val="both"/>
        <w:spacing w:after="120" w:line="276" w:lineRule="auto"/>
      </w:pPr>
      <w:r>
        <w:rPr>
          <w:b/>
          <w:bCs/>
        </w:rPr>
        <w:t xml:space="preserve">SUÇ:</w:t>
      </w:r>
      <w:r>
        <w:t xml:space="preserve"> [Özel hayatın gizliliğini ihlal (TCK m.134/1 / 134/2)] [Kişisel verilerin kaydedilmesi (TCK m.135)] [Verileri hukuka aykırı olarak verme, yayma veya ele geçirme (TCK m.136)]</w:t>
      </w:r>
    </w:p>
    <w:p>
      <w:pPr>
        <w:jc w:val="both"/>
        <w:spacing w:after="120" w:line="276" w:lineRule="auto"/>
      </w:pPr>
      <w:r>
        <w:rPr>
          <w:b/>
          <w:bCs/>
        </w:rPr>
        <w:t xml:space="preserve">MÜTALAA:</w:t>
      </w:r>
      <w:r>
        <w:t xml:space="preserve"> Cumhuriyet savcısının [gg.aa.2026] tarihli [duruşmada sözlü / yazılı] esas hakkındaki mütalaası</w:t>
      </w:r>
    </w:p>
    <w:p>
      <w:pPr>
        <w:jc w:val="both"/>
        <w:spacing w:after="120" w:line="276" w:lineRule="auto"/>
      </w:pPr>
      <w:r>
        <w:rPr>
          <w:b/>
          <w:bCs/>
        </w:rPr>
        <w:t xml:space="preserve">KONU:</w:t>
      </w:r>
      <w:r>
        <w:t xml:space="preserve"> Özel hayatın gizliliği ve kişisel verilere ilişkin suçlamalara karşı esas hakkındaki savunmamızın ve terditli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konusu:</w:t>
      </w:r>
      <w:r>
        <w:t xml:space="preserve"> Savcılık, sanığın [gg.aa.yyyy] tarihinde müştekiye ait [fotoğrafı / videoyu / ses kaydını / telefon numarasını, adresini veya kimlik bilgisini / sağlık raporunu / yazışmasını] [[sayı] kişilik WhatsApp grubunda / herkese açık Instagram hesabında / işverene gönderilen e-postada / tek bir kişiye ileterek] paylaştığını kabul etmiş ve TCK [134/2 / 136/1 / 134 ile 136 birlikte] uyarınca ceza istemiştir. Mütalaa, paylaşılan içeriğin hangi maddedeki "veri" ya da "özel hayat" kavramına girdiğini ve fiilin yayma mı, verme mi, ifşa mı olduğunu ayrı ayrı göstermemektedir.</w:t>
      </w:r>
    </w:p>
    <w:p>
      <w:pPr>
        <w:jc w:val="both"/>
        <w:spacing w:after="120" w:line="276" w:lineRule="auto"/>
      </w:pPr>
      <w:r>
        <w:t xml:space="preserve">2. </w:t>
      </w:r>
      <w:r>
        <w:rPr>
          <w:b/>
          <w:bCs/>
        </w:rPr>
        <w:t xml:space="preserve">Kişisel veri ile özel hayatın ayrımı:</w:t>
      </w:r>
      <w:r>
        <w:t xml:space="preserve"> Kişisel veri, kimliği belirli veya belirlenebilir bir gerçek kişiye ilişkin her türlü bilgidir; ad, numara, adres, plaka bu kapsamdadır. Özel hayat ise kişinin başkalarının bilmesini istemediği ve korunmaya değer gördüğü yaşam alanıdır; aile içi görüntüler, mahrem fotoğraflar, sağlık ya da ilişki bilgisi gibi. Paylaşılan [içerik] [yalnız bir telefon numarası ve isimden ibarettir; özel hayata dair bir görüntü ya da ses içermez / kamuya açık bir yerde çekilmiştir]. Bu nedenle TCK 134 değil, en fazla TCK 136 tartışılabilir.</w:t>
      </w:r>
    </w:p>
    <w:p>
      <w:pPr>
        <w:jc w:val="both"/>
        <w:spacing w:after="120" w:line="276" w:lineRule="auto"/>
      </w:pPr>
      <w:r>
        <w:t xml:space="preserve">3. </w:t>
      </w:r>
      <w:r>
        <w:rPr>
          <w:b/>
          <w:bCs/>
        </w:rPr>
        <w:t xml:space="preserve">Tek fiil, tek ceza:</w:t>
      </w:r>
      <w:r>
        <w:t xml:space="preserve"> [SEÇENEK — mütalaa aynı paylaşım için iki madde istiyorsa] Sanığa yüklenen tek bir paylaşımdır. Aynı fiil hem özel hayatın gizliliğini ihlal hem kişisel verileri yayma olarak nitelendirilse bile, tek bir fiille birden fazla suçun oluştuğu hâlde yalnız en ağır cezayı gerektiren suçtan ceza verilir (TCK 44/1). İki ayrı ceza istenmesi kanuna aykırıdır.</w:t>
      </w:r>
    </w:p>
    <w:p>
      <w:pPr>
        <w:jc w:val="both"/>
        <w:spacing w:after="120" w:line="276" w:lineRule="auto"/>
      </w:pPr>
      <w:r>
        <w:t xml:space="preserve">4. </w:t>
      </w:r>
      <w:r>
        <w:rPr>
          <w:b/>
          <w:bCs/>
        </w:rPr>
        <w:t xml:space="preserve">Özel hayatın gizliliğini ihlal unsurları (TCK 134/1):</w:t>
      </w:r>
      <w:r>
        <w:t xml:space="preserve"> [SEÇENEK — görüntü veya sesin kaydedilmesi iddiasında] Görüntü [kafede / düğünde / iş yerindeki ortak alanda / sokakta] herkesin görebileceği bir anda çekilmiştir; müştekinin bu anı gizli tutma iradesi ve beklentisi yoktur. Kamuya açık bir yerde, herkesin gözü önünde gerçekleşen bir olay özel hayatın gizli alanına girmez. Kayda alma iddiası da [görüntünün başkası tarafından çekilip sanığa gönderildiği] olgusuyla çelişmektedir; bu durumda birinci fıkradaki bir kat artırım uygulanamaz.</w:t>
      </w:r>
    </w:p>
    <w:p>
      <w:pPr>
        <w:jc w:val="both"/>
        <w:spacing w:after="120" w:line="276" w:lineRule="auto"/>
      </w:pPr>
      <w:r>
        <w:t xml:space="preserve">5. </w:t>
      </w:r>
      <w:r>
        <w:rPr>
          <w:b/>
          <w:bCs/>
        </w:rPr>
        <w:t xml:space="preserve">İfşa unsuru (TCK 134/2):</w:t>
      </w:r>
      <w:r>
        <w:t xml:space="preserve"> [SEÇENEK — ifşa iddiasında] İfşa, özel hayata ilişkin görüntü veya sesin hukuka aykırı olarak başkalarının bilgisine sunulmasıdır. Sanık görüntüyü [yalnız avukatına / kolluk görevlisine / kendisine yönelen bir suçu bildirmek için savcılığa] göstermiştir. Bir hakkın kullanılması amacıyla, yetkili makama ya da hukuki yardım alınan kişiye yapılan bildirim hukuka aykırı bir ifşa değildir. [Görüntünün sanığın telefonundan [kişi] tarafından alınıp paylaşıldığı] hususunda [tanık / mesaj kaydı] mevcuttur.</w:t>
      </w:r>
    </w:p>
    <w:p>
      <w:pPr>
        <w:jc w:val="both"/>
        <w:spacing w:after="120" w:line="276" w:lineRule="auto"/>
      </w:pPr>
      <w:r>
        <w:t xml:space="preserve">6. </w:t>
      </w:r>
      <w:r>
        <w:rPr>
          <w:b/>
          <w:bCs/>
        </w:rPr>
        <w:t xml:space="preserve">Yayma ile vermenin ayrımı (TCK 136/1):</w:t>
      </w:r>
      <w:r>
        <w:t xml:space="preserve"> Yayma, verinin belirsiz sayıda kişinin erişimine açılmasıdır; verme ise belirli bir kişiye iletilmesidir. Bu ayrım hem cezanın kaynağını hem de şikâyet şartını belirler (TCK 139/1). Bilgi [tek bir kişiye / birbirini tanıyan [sayı] kişilik kapalı bir aile grubuna] gönderilmiştir. [Dikkat: belirli kişiye 'verme' şikâyete bağlı değildir, uzlaştırmaya gitmez ve cezası yaymayla aynıdır; bu cümleyi yalnız erişimin sınırlılığını ve ceza tayinini tartışmak için kullanın. Eylem yayma olarak nitelendirildiyse şikâyete bağlıdır ve aşağıdaki şikâyet itirazımız geçerlidir.]</w:t>
      </w:r>
    </w:p>
    <w:p>
      <w:pPr>
        <w:jc w:val="both"/>
        <w:spacing w:after="120" w:line="276" w:lineRule="auto"/>
      </w:pPr>
      <w:r>
        <w:t xml:space="preserve">7. </w:t>
      </w:r>
      <w:r>
        <w:rPr>
          <w:b/>
          <w:bCs/>
        </w:rPr>
        <w:t xml:space="preserve">Alenileşmiş bilgi:</w:t>
      </w:r>
      <w:r>
        <w:t xml:space="preserve"> [SEÇENEK — veri zaten açıksa] Paylaşılan [telefon numarası / iş adresi / unvan] müştekinin [kendi işletmesinin internet sitesinde / herkese açık sosyal medya profilinde / ticaret sicilinde] zaten yayımlanmış durumdadır. Kişinin kendisinin herkese açtığı bir bilginin aynı amaçla tekrar paylaşılması, Yargıtay'ın yerleşik uygulamasında hukuka aykırılık bakımından farklı değerlendirilir; verinin hangi bağlamda ve hangi amaçla paylaşıldığı somut olarak tartışılmalıdır.</w:t>
      </w:r>
    </w:p>
    <w:p>
      <w:pPr>
        <w:jc w:val="both"/>
        <w:spacing w:after="120" w:line="276" w:lineRule="auto"/>
      </w:pPr>
      <w:r>
        <w:t xml:space="preserve">8. </w:t>
      </w:r>
      <w:r>
        <w:rPr>
          <w:b/>
          <w:bCs/>
        </w:rPr>
        <w:t xml:space="preserve">Rıza:</w:t>
      </w:r>
      <w:r>
        <w:t xml:space="preserve"> [SEÇENEK — dosyanıza uyuyorsa kullanın] Görüntü müştekinin kendisi tarafından sanığa gönderilmiş ve [ortak arkadaş grubunda paylaşılmasına itiraz edilmemiştir / paylaşıma "[müştekinin mesajı]" diyerek onay verilmiştir]. Kişinin üzerinde tasarruf edebileceği bir hakka ilişkin olarak açıkladığı rıza çerçevesinde işlenen fiil cezalandırılamaz (TCK 26/2). Rızanın kapsamı yazışmanın tamamında görülmektedir; döküm ekte sunulmuştur.</w:t>
      </w:r>
    </w:p>
    <w:p>
      <w:pPr>
        <w:jc w:val="both"/>
        <w:spacing w:after="120" w:line="276" w:lineRule="auto"/>
      </w:pPr>
      <w:r>
        <w:t xml:space="preserve">9. </w:t>
      </w:r>
      <w:r>
        <w:rPr>
          <w:b/>
          <w:bCs/>
        </w:rPr>
        <w:t xml:space="preserve">İspat amacıyla kayıt ve kullanım:</w:t>
      </w:r>
      <w:r>
        <w:t xml:space="preserve"> [SEÇENEK — kayıt kendine yönelen bir suçu belgelemek için yapıldıysa] Sanık, müştekinin [tehdit / hakaret / şiddet] içeren sözlerini, başka bir yoldan delil elde etme imkânı bulunmadığı bir anda ve yalnız o olayı belgelemek için kaydetmiştir. Kaydı hiçbir yerde yaymamış, yalnız [savcılığa / mahkemeye / kolluğa] sunmuştur. Kendisine yönelen bir suçu ispat etmek amacıyla ve ölçülü biçimde yapılan böyle bir kayıt, Yargıtay'ın yerleşik uygulamasında hukuka aykırı sayılmaz; hakkın kullanılması kapsamındadır (TCK 26/1).</w:t>
      </w:r>
    </w:p>
    <w:p>
      <w:pPr>
        <w:jc w:val="both"/>
        <w:spacing w:after="120" w:line="276" w:lineRule="auto"/>
      </w:pPr>
      <w:r>
        <w:t xml:space="preserve">10. </w:t>
      </w:r>
      <w:r>
        <w:rPr>
          <w:b/>
          <w:bCs/>
        </w:rPr>
        <w:t xml:space="preserve">Haber verme ve ifade özgürlüğü:</w:t>
      </w:r>
      <w:r>
        <w:t xml:space="preserve"> [SEÇENEK — kamuya açık bir konuda paylaşım yapıldıysa] Paylaşım, [müştekinin kamu görevi / işletmesinin hizmeti / toplumu ilgilendiren bir olay] hakkındadır; gerçek, güncel ve konuyla orantılıdır. Müştekinin aile ya da mahrem yaşamına dair bir ayrıntı içermez. Kişisel verilerin ifade özgürlüğü kapsamında, özel hayatın gizliliğini ve kişilik haklarını ihlal etmemek kaydıyla işlenmesi 6698 sayılı Kanun m.28/1-c'de de korunmuştur.</w:t>
      </w:r>
    </w:p>
    <w:p>
      <w:pPr>
        <w:jc w:val="both"/>
        <w:spacing w:after="120" w:line="276" w:lineRule="auto"/>
      </w:pPr>
      <w:r>
        <w:t xml:space="preserve">11. </w:t>
      </w:r>
      <w:r>
        <w:rPr>
          <w:b/>
          <w:bCs/>
        </w:rPr>
        <w:t xml:space="preserve">Hesabın ve cihazın aidiyeti:</w:t>
      </w:r>
      <w:r>
        <w:t xml:space="preserve"> Paylaşımın yapıldığı [hesap / numara] sanığa ait değildir ya da [ailenin ortak kullandığı bir tablet / iş yerindeki ortak bilgisayar] üzerinden açılmıştır. Dosyadaki IP kaydı yalnız internet aboneliğinin kime ait olduğunu gösterir, cihazı kimin kullandığını göstermez. [Hesabın [gg.aa.yyyy] tarihinde ele geçirildiğine dair platform bildirimi ve şikâyet kaydı ektedir.] Platformdan oturum açma kayıtlarının ve cihaz bilgilerinin, operatörden abonelik ve IP eşleşmesinin getirtilmesini talep ediyoruz.</w:t>
      </w:r>
    </w:p>
    <w:p>
      <w:pPr>
        <w:jc w:val="both"/>
        <w:spacing w:after="120" w:line="276" w:lineRule="auto"/>
      </w:pPr>
      <w:r>
        <w:t xml:space="preserve">12. </w:t>
      </w:r>
      <w:r>
        <w:rPr>
          <w:b/>
          <w:bCs/>
        </w:rPr>
        <w:t xml:space="preserve">Dijital delilin hukuka uygunluğu:</w:t>
      </w:r>
      <w:r>
        <w:t xml:space="preserve"> [SEÇENEK — sanığın cihazı incelendiyse] Sanığın telefonundaki veriler [hâkim kararı olmadan / savcılık kararının yirmi dört saat içinde hâkim onayına sunulmadığı hâlde] incelenmiş, el koyma sırasında sistemdeki verilerin yedeği alınıp bir kopyası sanığa verilmemiştir (CMK 134/1, 134/4). Bu yolla elde edilen bulgular hükme esas alınamaz (CMK 206/2-a, 217/2).</w:t>
      </w:r>
    </w:p>
    <w:p>
      <w:pPr>
        <w:jc w:val="both"/>
        <w:spacing w:after="120" w:line="276" w:lineRule="auto"/>
      </w:pPr>
      <w:r>
        <w:t xml:space="preserve">13. </w:t>
      </w:r>
      <w:r>
        <w:rPr>
          <w:b/>
          <w:bCs/>
        </w:rPr>
        <w:t xml:space="preserve">Nitelikli hâller ve görev:</w:t>
      </w:r>
      <w:r>
        <w:t xml:space="preserve"> [SEÇENEK — TCK 135/2, 136/2 veya 137 istenmişse] Sanık [kamu görevlisi değildir / mesleğinin sağladığı bir imkândan yararlanmamıştır]; veriye [ortak tanıdık aracılığıyla / müştekinin kendi paylaşımından] ulaşmıştır. TCK 137'deki artırım, görevin veya mesleğin sağladığı kolaylıkla fiil arasındaki bağın ispatını gerektirir. [Paylaşılan bilgi sağlık durumu, cinsel yaşam ya da dini görüş gibi özel nitelikli bir veri değildir; TCK 135/2 artırımı uygulanamaz.]</w:t>
      </w:r>
    </w:p>
    <w:p>
      <w:pPr>
        <w:jc w:val="both"/>
        <w:spacing w:after="120" w:line="276" w:lineRule="auto"/>
      </w:pPr>
      <w:r>
        <w:t xml:space="preserve">14. </w:t>
      </w:r>
      <w:r>
        <w:rPr>
          <w:b/>
          <w:bCs/>
        </w:rPr>
        <w:t xml:space="preserve">Kendisiyle yapılan yazışmanın paylaşılması:</w:t>
      </w:r>
      <w:r>
        <w:t xml:space="preserve"> [SEÇENEK — paylaşılan içerik taraflar arasındaki yazışma ise] Paylaşılan içerik sanık ile müşteki arasındaki yazışmadır; bunun yeri TCK 134 değil, kendisiyle yapılan haberleşmenin alenen ifşasını düzenleyen TCK 132/3'tür. Bu hüküm aleniyet arar. Yazışma [tek bir kişiye / avukata] gösterildiğinden aleniyet yoktur ve suç oluşmamıştır; aksi kabul edilse bile nitelendirme değişikliği için ek savunma hakkı tanınmalıdır (CMK 226/1).</w:t>
      </w:r>
    </w:p>
    <w:p>
      <w:pPr>
        <w:jc w:val="both"/>
        <w:spacing w:after="120" w:line="276" w:lineRule="auto"/>
      </w:pPr>
      <w:r>
        <w:t xml:space="preserve">15. </w:t>
      </w:r>
      <w:r>
        <w:rPr>
          <w:b/>
          <w:bCs/>
        </w:rPr>
        <w:t xml:space="preserve">Şikâyet ve uzlaştırma:</w:t>
      </w:r>
      <w:r>
        <w:t xml:space="preserve"> Özel hayatın gizliliğini ihlal ve kişisel verileri yayma şikâyete bağlıdır; kişisel verilerin kaydedilmesi, verilmesi ve ele geçirilmesi ise şikâyete bağlı değildir (TCK 139/1). [SEÇENEK] Müştekinin şikâyeti, fiili ve faili öğrendiği [gg.aa.yyyy] tarihinden itibaren altı ay geçtikten sonra yapılmıştır (TCK 73/1) [ya da: müşteki şikâyetinden vazgeçmiştir (TCK 73/4)]. Şikâyete bağlı suç uzlaştırma kapsamında olduğu hâlde dosya uzlaştırmaya gönderilmemiştir; gönderilmesi gerekir (CMK 253/1-a, 254/1).</w:t>
      </w:r>
    </w:p>
    <w:p>
      <w:pPr>
        <w:jc w:val="both"/>
        <w:spacing w:after="120" w:line="276" w:lineRule="auto"/>
      </w:pPr>
      <w:r>
        <w:t xml:space="preserve">16. </w:t>
      </w:r>
      <w:r>
        <w:rPr>
          <w:b/>
          <w:bCs/>
        </w:rPr>
        <w:t xml:space="preserve">Ceza tayini:</w:t>
      </w:r>
      <w:r>
        <w:t xml:space="preserve"> Mahkûmiyet hâlinde paylaşımın kısa sürede kaldırılması, erişen kişi sayısının azlığı ve içeriğin niteliği, temel cezanın alt sınırdan belirlenmesini gerektirir (TCK 61/1). Sanığın pişmanlığı ve geçmişi TCK 62 indirimini haklı kılar. Sanık daha önce kasıtlı bir suçtan mahkûm olmamıştır [adli sicil kaydı ekte]; hükmün açıklanmasının geri bırakılması (CMK 231/5), olmazsa erteleme (TCK 51), bir yıl veya daha az hapiste adli para cezasına çevirme (TCK 50/1-a) uygulanmalıdır.</w:t>
      </w:r>
    </w:p>
    <w:p>
      <w:pPr>
        <w:jc w:val="both"/>
        <w:spacing w:after="120" w:line="276" w:lineRule="auto"/>
      </w:pPr>
      <w:r>
        <w:rPr>
          <w:b/>
          <w:bCs/>
        </w:rPr>
        <w:t xml:space="preserve">HUKUKİ NEDENLER:</w:t>
      </w:r>
      <w:r>
        <w:t xml:space="preserve"> TCK m.26, 44, 50, 51, 61, 62, 73, 132, 134, 135, 136, 137, 139; CMK m.134, 206, 216, 217, 223, 226, 231, 253, 254; 6698 sayılı Kanun m.3, 28 ve ilgili mevzuat.</w:t>
      </w:r>
    </w:p>
    <w:p>
      <w:pPr>
        <w:jc w:val="both"/>
        <w:spacing w:after="120" w:line="276" w:lineRule="auto"/>
      </w:pPr>
      <w:r>
        <w:rPr>
          <w:b/>
          <w:bCs/>
        </w:rPr>
        <w:t xml:space="preserve">DELİLLER:</w:t>
      </w:r>
      <w:r>
        <w:t xml:space="preserve"> Dosya kapsamı, [gg.aa.2026] tarihli duruşma tutanakları, [paylaşımın ve yazışmanın tamamı], [müştekinin herkese açık profil ve internet sitesi çıktıları], [platform oturum ve cihaz kayıtları], [IP ve abonelik kayıtları], [dijital inceleme raporu], [tanık beyanları], [adli sicil kaydı],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[platform ve operatör kayıtlarının getirtilmesi / cihazların bilirkişiye incelettirilmesi / tanıkların dinlenmesi] taleplerimizin kabulüne, şikâyete bağlı suçlar bakımından dosyanın uzlaştırma bürosuna gönderilmesine,</w:t>
      </w:r>
    </w:p>
    <w:p>
      <w:pPr>
        <w:jc w:val="both"/>
        <w:spacing w:after="120" w:line="276" w:lineRule="auto"/>
      </w:pPr>
      <w:r>
        <w:t xml:space="preserve">2. </w:t>
      </w:r>
      <w:r>
        <w:t xml:space="preserve">Paylaşılan içerik özel hayata ilişkin olmadığından ya da paylaşım hukuka aykırı bulunmadığından eylem suç oluşturmadığı için (CMK 223/2-a), rıza, hakkın kullanılması veya ifade özgürlüğü nedeniyle hukuka uygun olduğundan (CMK 223/2-d), olmazsa suçun sanık tarafından işlendiği sabit olmadığından (CMK 223/2-e) sanığın BERAATİNE,</w:t>
      </w:r>
    </w:p>
    <w:p>
      <w:pPr>
        <w:jc w:val="both"/>
        <w:spacing w:after="120" w:line="276" w:lineRule="auto"/>
      </w:pPr>
      <w:r>
        <w:t xml:space="preserve">3. </w:t>
      </w:r>
      <w:r>
        <w:t xml:space="preserve">[Şikâyet süresi geçmişse veya şikâyetten vazgeçilmişse: şikâyete bağlı suçlar yönünden davanın DÜŞMESİNE (CMK 223/8)],</w:t>
      </w:r>
    </w:p>
    <w:p>
      <w:pPr>
        <w:jc w:val="both"/>
        <w:spacing w:after="120" w:line="276" w:lineRule="auto"/>
      </w:pPr>
      <w:r>
        <w:t xml:space="preserve">4. </w:t>
      </w:r>
      <w:r>
        <w:t xml:space="preserve">Mahkemeniz aksi kanaatte ise terditli olarak; tek fiil için TCK 44 uyarınca tek ceza verilmesine, eylemin TCK 134 yerine TCK 136 ya da TCK 132/3 kapsamında değerlendirilmesine ve bu hâlde ek savunma hakkı tanınmasına, TCK 135/2, 136/2 ve 137 artırımlarının uygulanmamasına,</w:t>
      </w:r>
    </w:p>
    <w:p>
      <w:pPr>
        <w:jc w:val="both"/>
        <w:spacing w:after="120" w:line="276" w:lineRule="auto"/>
      </w:pPr>
      <w:r>
        <w:t xml:space="preserve">5. </w:t>
      </w:r>
      <w:r>
        <w:t xml:space="preserve">Cezanın alt sınırdan belirlenmesine, TCK 62 indiriminin uygulanmasına, hükmün açıklanmasının geri bırakılmasına; bu mümkün görülmezse ertelenmesine ya da adli para cezasına çevrilmesine,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[Paylaşımın ve yazışmanın tamamını gösteren döküm]</w:t>
      </w:r>
    </w:p>
    <w:p>
      <w:pPr>
        <w:jc w:val="both"/>
        <w:spacing w:after="120" w:line="276" w:lineRule="auto"/>
      </w:pPr>
      <w:r>
        <w:t xml:space="preserve">2. </w:t>
      </w:r>
      <w:r>
        <w:t xml:space="preserve">[Müştekinin herkese açık paylaşımlarının tarihli çıktıları]</w:t>
      </w:r>
    </w:p>
    <w:p>
      <w:pPr>
        <w:jc w:val="both"/>
        <w:spacing w:after="120" w:line="276" w:lineRule="auto"/>
      </w:pPr>
      <w:r>
        <w:t xml:space="preserve">3. </w:t>
      </w:r>
      <w:r>
        <w:t xml:space="preserve">[Hesabın ele geçirildiğine dair kayıtlar, varsa]</w:t>
      </w:r>
    </w:p>
    <w:p>
      <w:pPr>
        <w:jc w:val="both"/>
        <w:spacing w:after="120" w:line="276" w:lineRule="auto"/>
      </w:pPr>
      <w:r>
        <w:t xml:space="preserve">4. </w:t>
      </w:r>
      <w:r>
        <w:t xml:space="preserve">[Tanık listesi ve adresleri]</w:t>
      </w:r>
    </w:p>
    <w:p>
      <w:pPr>
        <w:jc w:val="both"/>
        <w:spacing w:after="120" w:line="276" w:lineRule="auto"/>
      </w:pPr>
      <w:r>
        <w:t xml:space="preserve">5. </w:t>
      </w:r>
      <w:r>
        <w:t xml:space="preserve">[Adli sicil kaydı]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