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 duruşma davetiyesindeki mahkemeyi yazın]</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 / kurum adı]</w:t>
      </w:r>
    </w:p>
    <w:p>
      <w:pPr>
        <w:jc w:val="both"/>
        <w:spacing w:after="120" w:line="276" w:lineRule="auto"/>
      </w:pPr>
      <w:r>
        <w:rPr>
          <w:b/>
          <w:bCs/>
        </w:rPr>
        <w:t xml:space="preserve">İSNAT EDİLEN SUÇ:</w:t>
      </w:r>
      <w:r>
        <w:t xml:space="preserve"> Mala zarar verme [TCK 151/1 / TCK 152/1-... / TCK 152/2-...; varsa TCK 152/3]</w:t>
      </w:r>
    </w:p>
    <w:p>
      <w:pPr>
        <w:jc w:val="both"/>
        <w:spacing w:after="120" w:line="276" w:lineRule="auto"/>
      </w:pPr>
      <w:r>
        <w:rPr>
          <w:b/>
          <w:bCs/>
        </w:rPr>
        <w:t xml:space="preserve">KONU:</w:t>
      </w:r>
      <w:r>
        <w:t xml:space="preserve"> Esas hakkındaki mütalaaya karşı beyan ve savunmalarımız ile hükme ilişkin asıl ve terditli taleplerimizin arzıdır.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Mütalaada kabul edilen olay:</w:t>
      </w:r>
      <w:r>
        <w:t xml:space="preserve"> Savcılık makamı, [gg.aa.20..] günü [saat] sıralarında [apartman otoparkında / müştekinin iş yeri önünde / kamu binasında] bulunan [aracın camı / kapı / pencere / bahçe duvarı / ağaç] üzerinde sanığın [kırma / çizme / yakma / boyama] suretiyle zarar oluşturduğunu kabul etmiş ve [TCK 151/1 / 152] uyarınca ceza istemiştir. Mütalaanın dayanakları [müşteki beyanı], [tanık anlatımı] ve [olay yeri fotoğrafları] ile sınırlıdır. Zararın nasıl, hangi anda ve kimin eylemiyle oluştuğu bu delillerle kesin olarak ortaya konmamıştır.</w:t>
      </w:r>
    </w:p>
    <w:p>
      <w:pPr>
        <w:jc w:val="both"/>
        <w:spacing w:after="120" w:line="276" w:lineRule="auto"/>
      </w:pPr>
      <w:r>
        <w:t xml:space="preserve">2. </w:t>
      </w:r>
      <w:r>
        <w:rPr>
          <w:b/>
          <w:bCs/>
        </w:rPr>
        <w:t xml:space="preserve">Başkasına ait mal unsuru:</w:t>
      </w:r>
      <w:r>
        <w:t xml:space="preserve"> Suçun konusu "başkasının" taşınır veya taşınmaz malıdır. Zarar gören [eşya / bölüm] [sanığın kendi parasıyla satın alıp taktığı bir eklentidir / sanığın da paydaşı olduğu ve paylaşılmamış miras malıdır / tapuda sanık adına kayıtlıdır] [fatura, tapu kaydı, veraset ilamı]. Kişinin kendi malı üzerinde yaptığı değişiklik ceza hukukunu ilgilendirmez. Paylı veya elbirliği hâlindeki malda ise ortak kullanımın nasıl olacağı ve paydaşların birbirine karşı hakları, ortaklığın giderilmesi ya da tazminat yoluyla hukuk mahkemesinde çözülür.</w:t>
      </w:r>
    </w:p>
    <w:p>
      <w:pPr>
        <w:jc w:val="both"/>
        <w:spacing w:after="120" w:line="276" w:lineRule="auto"/>
      </w:pPr>
      <w:r>
        <w:t xml:space="preserve">3. </w:t>
      </w:r>
      <w:r>
        <w:rPr>
          <w:b/>
          <w:bCs/>
        </w:rPr>
        <w:t xml:space="preserve">Seçimlik hareketler:</w:t>
      </w:r>
      <w:r>
        <w:t xml:space="preserve"> TCK 151/1 yıkma, tahrip etme, yok etme, bozma, kullanılamaz hâle getirme ve kirletme hareketlerini sayar. Mütalaa sanığın hangi hareketi gerçekleştirdiğini belirtmeden genel bir "zarar verme" ifadesi kullanmıştır. Olay yeri fotoğraflarında [malın kullanımını etkileyen bir hasar görülmemektedir / yalnızca kolayca silinen bir iz bulunmaktadır]. Malın işlevini ve değerini etkilemeyen, herhangi bir masraf gerektirmeden giderilen geçici bir iz, kanundaki hareketlerin hiçbirine girmez.</w:t>
      </w:r>
    </w:p>
    <w:p>
      <w:pPr>
        <w:jc w:val="both"/>
        <w:spacing w:after="120" w:line="276" w:lineRule="auto"/>
      </w:pPr>
      <w:r>
        <w:t xml:space="preserve">4. </w:t>
      </w:r>
      <w:r>
        <w:rPr>
          <w:b/>
          <w:bCs/>
        </w:rPr>
        <w:t xml:space="preserve">Kast unsuru:</w:t>
      </w:r>
      <w:r>
        <w:t xml:space="preserve"> Mala zarar verme yalnızca kasten işlenebilir (TCK 21/1). Kanunda taksirle mala zarar verme diye bir suç tipi yoktur (TCK 22/1); dikkatsizlikle oluşan hasar ceza davasının değil, tazminatın konusudur. Olayda zarar, [sanık aracını park ederken / tadilat sırasında / kapıyı kapatırken / kalabalıkta itilince] istem dışı meydana gelmiştir. Sanığın hasarı fark eder etmez [müştekiye haber verdiği / not bıraktığı / sigorta bilgilerini paylaştığı] [mesaj, tanık] dosyadadır. Zararı bilerek ve isteyerek veren bir kişinin bu şekilde davranması hayatın olağan akışına uymaz.</w:t>
      </w:r>
    </w:p>
    <w:p>
      <w:pPr>
        <w:jc w:val="both"/>
        <w:spacing w:after="120" w:line="276" w:lineRule="auto"/>
      </w:pPr>
      <w:r>
        <w:t xml:space="preserve">5. </w:t>
      </w:r>
      <w:r>
        <w:rPr>
          <w:b/>
          <w:bCs/>
        </w:rPr>
        <w:t xml:space="preserve">Failin kim olduğu:</w:t>
      </w:r>
      <w:r>
        <w:t xml:space="preserve"> Olay anında [gece / kalabalık / kamera açısı dışında] olduğundan zarar vereni doğrudan gören tanık yoktur. Müşteki, sanığı [önceki husumet nedeniyle / olaydan sonra çevrede gördüğü için] şüpheli göstermiştir. [Kamera kaydında yüz seçilememektedir / kayıt dosyaya getirilmemiştir.] Taraflar arasında [gg.aa.20..] tarihinden beri süren [komşuluk / kira / miras] anlaşmazlığı bulunduğundan müştekinin tek başına beyanı, başka bir delille desteklenmedikçe mahkûmiyete yetmez.</w:t>
      </w:r>
    </w:p>
    <w:p>
      <w:pPr>
        <w:jc w:val="both"/>
        <w:spacing w:after="120" w:line="276" w:lineRule="auto"/>
      </w:pPr>
      <w:r>
        <w:t xml:space="preserve">6. </w:t>
      </w:r>
      <w:r>
        <w:t xml:space="preserve">[SEÇENEK — dosyanıza uyuyorsa kullanın: kiracı ve tahliye] Sanık [gg.aa.20..] tarihinde taşınmazı tahliye ederken, kira süresince kendi parasıyla yaptırdığı [mutfak dolabı / klima / kombi / panel kapı] gibi sökülebilir eklentileri götürmüştür [fatura, ödeme belgesi, kira sözleşmesi]. Söküm sırasında taşınmazın kendisine kalıcı bir zarar verilmemiştir; varsa vida ve montaj izleri olağan kullanımın sonucudur. Kiracının kendi malını alması mala zarar verme değildir; tarafların depozito ve eski hâle getirme bedeline ilişkin uyuşmazlığı kira hukukunun konusudur.</w:t>
      </w:r>
    </w:p>
    <w:p>
      <w:pPr>
        <w:jc w:val="both"/>
        <w:spacing w:after="120" w:line="276" w:lineRule="auto"/>
      </w:pPr>
      <w:r>
        <w:t xml:space="preserve">7. </w:t>
      </w:r>
      <w:r>
        <w:t xml:space="preserve">[SEÇENEK — dosyanıza uyuyorsa kullanın: ortak mal ya da miras] Zarar gördüğü ileri sürülen [ev / tarla / bahçe duvarı / ağaç], sanık ile müştekinin [miras yoluyla elbirliği / tapuda paylı] malikleri olduğu bir taşınmazdadır. Paydaşlar arasında yazılı bir kullanım anlaşması yoktur; sanık [ürünü toplamış / duvarı onarmak için yıkmış / bölmeyi kaldırmıştır]. Kendi payı üzerinde de hak sahibi olan kişinin ortak maldaki tasarrufu, hukuki ihtilaf niteliğindedir ve ortaklığın giderilmesi davasında çözülür [ortaklığın giderilmesi dava numarası].</w:t>
      </w:r>
    </w:p>
    <w:p>
      <w:pPr>
        <w:jc w:val="both"/>
        <w:spacing w:after="120" w:line="276" w:lineRule="auto"/>
      </w:pPr>
      <w:r>
        <w:t xml:space="preserve">8. </w:t>
      </w:r>
      <w:r>
        <w:t xml:space="preserve">[SEÇENEK — dosyanıza uyuyorsa kullanın: saldırıdan korunma ya da zorunluluk] Sanık [müştekinin üzerine sürdüğü araçtan kaçarken / kendisine saldıran kişinin elindeki sopayı alıp kırarken / yangında mahsur kalan kişiyi kurtarmak için kapıyı kırarken] zarara yol açmıştır. Haksız saldırıyı o anda orantılı biçimde defetmek için işlenen fiilden ceza verilmez (TCK 25/1). Başka şekilde korunma imkânı bulunmayan ağır ve muhakkak bir tehlikeden kurtulmak için yapılan orantılı müdahale de cezalandırılamaz (TCK 25/2).</w:t>
      </w:r>
    </w:p>
    <w:p>
      <w:pPr>
        <w:jc w:val="both"/>
        <w:spacing w:after="120" w:line="276" w:lineRule="auto"/>
      </w:pPr>
      <w:r>
        <w:t xml:space="preserve">9. </w:t>
      </w:r>
      <w:r>
        <w:t xml:space="preserve">[SEÇENEK — dosyanıza uyuyorsa kullanın: 152/1-a kamu malı istendiyse] Zarar gören [eşya / araç / tabela] bir kamu kurumuna ait değildir, kamu hizmetine tahsis edildiği ya da kamunun yararlanmasına ayrıldığı da ispatlanmamıştır; [özel bir şirkete / apartman yönetimine] aittir [ruhsat, mülkiyet yazısı]. Nitelikli hâlin uygulanabilmesi için malın bu statüsünün resmi kayıtla gösterilmesi gerekir. Aksi hâlde eylem, şikâyete bağlı temel hâl olan TCK 151/1 kapsamında kalır.</w:t>
      </w:r>
    </w:p>
    <w:p>
      <w:pPr>
        <w:jc w:val="both"/>
        <w:spacing w:after="120" w:line="276" w:lineRule="auto"/>
      </w:pPr>
      <w:r>
        <w:t xml:space="preserve">10. </w:t>
      </w:r>
      <w:r>
        <w:t xml:space="preserve">[SEÇENEK — dosyanıza uyuyorsa kullanın: 152/2-a yakarak zarar istendiyse] Yangının [elektrik kontağından / atılan bir sigara izmaritinden / mangal ateşinden] kaynaklandığı ihtimali araştırılmamıştır. İtfaiye raporunda çıkış sebebi [tespit edilememiş / elektrik arızası olarak gösterilmiş] olup yanıcı madde kullanıldığına dair bulgu yoktur. Yakarak mala zarar vermenin artırımı, failin malı bilerek ve isteyerek ateşe vermesini gerektirir. Dikkatsizlikle çıkan yangın en fazla taksirle yangına neden olma (TCK 171/1) olarak değerlendirilebilir ve bu suçun da başkalarının hayatı, sağlığı veya malvarlığı için tehlike doğmasını gerektirdiği dikkate alınmalıdır.</w:t>
      </w:r>
    </w:p>
    <w:p>
      <w:pPr>
        <w:jc w:val="both"/>
        <w:spacing w:after="120" w:line="276" w:lineRule="auto"/>
      </w:pPr>
      <w:r>
        <w:t xml:space="preserve">11. </w:t>
      </w:r>
      <w:r>
        <w:t xml:space="preserve">[SEÇENEK — dosyanıza uyuyorsa kullanın: 152/1-c ağaç kesme istendiyse] Kesilen [ağaç / fidan / dal] [sanığın kendi arazisindedir / kurumuş ve devrilme tehlikesi taşımaktadır / sanığın evine ve elektrik hattına sarkmaktadır] [fotoğraf, belediye yazısı]. Kişinin kendi arazisindeki ağaç üzerindeki tasarrufu "başkasının malı" unsurunu karşılamaz. Komşu taşınmazdan taşan dalların zarar tehlikesine karşı giderilmesi ise hakkın kullanılması (TCK 26/1) kapsamında değerlendirilmelidir.</w:t>
      </w:r>
    </w:p>
    <w:p>
      <w:pPr>
        <w:jc w:val="both"/>
        <w:spacing w:after="120" w:line="276" w:lineRule="auto"/>
      </w:pPr>
      <w:r>
        <w:t xml:space="preserve">12. </w:t>
      </w:r>
      <w:r>
        <w:t xml:space="preserve">[SEÇENEK — dosyanıza uyuyorsa kullanın: tek fiille birden fazla kişinin malı] Mütalaa, [aynı otoparktaki üç araca / aynı binadaki iki daireye] verilen zarar nedeniyle her müşteki için ayrı ceza istemiştir. Zarar tek bir hareketle ve aynı anda oluşmuştur. Aynı suçun birden fazla kişiye karşı tek fiille işlenmesi hâlinde tek ceza verilip artırım yapılır (TCK 43/2); ayrı ayrı mahkûmiyet kurulamaz.</w:t>
      </w:r>
    </w:p>
    <w:p>
      <w:pPr>
        <w:jc w:val="both"/>
        <w:spacing w:after="120" w:line="276" w:lineRule="auto"/>
      </w:pPr>
      <w:r>
        <w:t xml:space="preserve">13. </w:t>
      </w:r>
      <w:r>
        <w:rPr>
          <w:b/>
          <w:bCs/>
        </w:rPr>
        <w:t xml:space="preserve">Zararın miktarı:</w:t>
      </w:r>
      <w:r>
        <w:t xml:space="preserve"> Müştekinin bildirdiği [tutar] TL zarar, yalnızca [bir sanayi esnafının el yazısı fişine / internetten alınmış fiyata] dayanmaktadır. Hasarın gerçek bedeli, [aracın eski parçalarla onarım maliyeti / camın piyasa fiyatı / duvarın yeniden yapım bedeli] esas alınarak bilirkişi tarafından tespit edilmemiştir. Zararın miktarı hem temel cezanın belirlenmesinde (TCK 61/1-e) hem de etkin pişmanlık için ödenecek tutarda belirleyicidir. Bu nedenle uzman bir bilirkişiden rapor alınması gerekir (CMK 63/1).</w:t>
      </w:r>
    </w:p>
    <w:p>
      <w:pPr>
        <w:jc w:val="both"/>
        <w:spacing w:after="120" w:line="276" w:lineRule="auto"/>
      </w:pPr>
      <w:r>
        <w:t xml:space="preserve">14. </w:t>
      </w:r>
      <w:r>
        <w:rPr>
          <w:b/>
          <w:bCs/>
        </w:rPr>
        <w:t xml:space="preserve">Şikâyet ve uzlaştırma:</w:t>
      </w:r>
      <w:r>
        <w:t xml:space="preserve"> Temel hâl şikâyete bağlıdır. Müşteki olayı ve faili [gg.aa.20..] tarihinde öğrendiğini beyan etmiş, ancak şikâyetini [gg.aa.20..] tarihinde, altı aylık sürenin dolmasından sonra yapmıştır (TCK 73/1). [Müşteki [gg.aa.2026] tarihli celsede şikâyetinden vazgeçmiştir (TCK 73/4).] Şikâyete bağlı olduğu için TCK 151/1 uzlaştırma kapsamındadır (CMK 253/1-a); dosya uzlaştırmaya gönderilmeden hüküm kurulamaz (CMK 254/1).</w:t>
      </w:r>
    </w:p>
    <w:p>
      <w:pPr>
        <w:jc w:val="both"/>
        <w:spacing w:after="120" w:line="276" w:lineRule="auto"/>
      </w:pPr>
      <w:r>
        <w:t xml:space="preserve">15. </w:t>
      </w:r>
      <w:r>
        <w:t xml:space="preserve">[SEÇENEK — dosyanıza uyuyorsa kullanın: aile içi olay] Zarar gören mal, sanığın [eşine / annesine / babasına / aynı konutta yaşayan kardeşine] aittir ve aralarında ayrılık kararı bulunmamaktadır. Bu durumda TCK 167/1 uyarınca sanık hakkında cezaya hükmolunamaz. [Mal, aynı konutta yaşamayan kardeşe ya da 167/2'de sayılan diğer akrabalara aitse, ceza şikâyet üzerine yarı oranında indirilir.]</w:t>
      </w:r>
    </w:p>
    <w:p>
      <w:pPr>
        <w:jc w:val="both"/>
        <w:spacing w:after="120" w:line="276" w:lineRule="auto"/>
      </w:pPr>
      <w:r>
        <w:t xml:space="preserve">16. </w:t>
      </w:r>
      <w:r>
        <w:t xml:space="preserve">[SEÇENEK — dosyanıza uyuyorsa kullanın: tahrik ya da karşılıklı kavga] Olaydan hemen önce müşteki [sanığa hakaret etmiş / sanığın aracına çarpıp kaçmaya çalışmış / sanığın çocuğunu itmiştir] [tanık, kamera, tutanak]. Sanık bu haksız fiilin yarattığı hiddetle hareket etmiştir; cezada TCK 29 uyarınca indirim yapılmalıdır.</w:t>
      </w:r>
    </w:p>
    <w:p>
      <w:pPr>
        <w:jc w:val="both"/>
        <w:spacing w:after="120" w:line="276" w:lineRule="auto"/>
      </w:pPr>
      <w:r>
        <w:t xml:space="preserve">17. </w:t>
      </w:r>
      <w:r>
        <w:rPr>
          <w:b/>
          <w:bCs/>
        </w:rPr>
        <w:t xml:space="preserve">Usule aykırılıklar:</w:t>
      </w:r>
      <w:r>
        <w:t xml:space="preserve"> Sanığın [gg.aa.20..] tarihli kolluk ifadesi müdafi olmadan alınmış ve duruşmada doğrulanmamıştır; bu ifade hükme esas alınamaz (CMK 148/4). [Olay yeri tutanağı olaydan [kaç gün] sonra düzenlenmiş, hasarın olaydan önce var olup olmadığı araştırılmamıştır.] [Müştekinin sunduğu kamera kaydı kesilmiş bir parçadır; kaydın tamamının getirilmesini istiyoruz.]</w:t>
      </w:r>
    </w:p>
    <w:p>
      <w:pPr>
        <w:jc w:val="both"/>
        <w:spacing w:after="120" w:line="276" w:lineRule="auto"/>
      </w:pPr>
      <w:r>
        <w:t xml:space="preserve">18. </w:t>
      </w:r>
      <w:r>
        <w:rPr>
          <w:b/>
          <w:bCs/>
        </w:rPr>
        <w:t xml:space="preserve">Etkin pişmanlık:</w:t>
      </w:r>
      <w:r>
        <w:t xml:space="preserve"> Sanık [gg.aa.2026] tarihinde müştekinin zararını [tamir ettirerek / [tutar] TL ödeyerek / malı yenisiyle değiştirerek] gidermiştir [dekont, servis faturası, müşteki beyanı]. Zararın iddianamenin kabulünden önce giderildiği hâllerde TCK 168/1 uyarınca üçte ikiye kadar, sonra giderildiği hâllerde TCK 168/2 uyarınca yarıya kadar indirim yapılır; bu hüküm 151'deki temel hâlde de 152'deki nitelikli hâllerde de uygulanır. [Kısmi ödeme yapıldıysa müştekinin buna rıza gösterdiğine dair beyanı ektedir (TCK 168/4).]</w:t>
      </w:r>
    </w:p>
    <w:p>
      <w:pPr>
        <w:jc w:val="both"/>
        <w:spacing w:after="120" w:line="276" w:lineRule="auto"/>
      </w:pPr>
      <w:r>
        <w:t xml:space="preserve">19. </w:t>
      </w:r>
      <w:r>
        <w:rPr>
          <w:b/>
          <w:bCs/>
        </w:rPr>
        <w:t xml:space="preserve">Yaptırımın belirlenmesi:</w:t>
      </w:r>
      <w:r>
        <w:t xml:space="preserve"> TCK 151/1 hapis ile adli para cezasını seçimlik olarak öngörmektedir. Sanığın sabıkasız olması, zararın düşük ve giderilmiş bulunması dikkate alınarak doğrudan adli para cezasının seçilmesi gerekir; hapis seçilirse bu ceza sonradan paraya çevrilemez (TCK 50/2). Ceza alt sınırdan belirlenmeli ve sanığın yargılama sürecindeki tutumu nedeniyle TCK 62 indirimi uygulanmalıdır.</w:t>
      </w:r>
    </w:p>
    <w:p>
      <w:pPr>
        <w:jc w:val="both"/>
        <w:spacing w:after="120" w:line="276" w:lineRule="auto"/>
      </w:pPr>
      <w:r>
        <w:rPr>
          <w:b/>
          <w:bCs/>
        </w:rPr>
        <w:t xml:space="preserve">HUKUKİ NEDENLER:</w:t>
      </w:r>
      <w:r>
        <w:t xml:space="preserve"> TCK m.21, 22, 25, 26, 29, 43, 50, 61, 62, 73, 151, 152, 167, 168, 171; CMK m.63, 148, 216, 223, 226, 231, 253, 254 ve ilgili mevzuat.</w:t>
      </w:r>
    </w:p>
    <w:p>
      <w:pPr>
        <w:jc w:val="both"/>
        <w:spacing w:after="120" w:line="276" w:lineRule="auto"/>
      </w:pPr>
      <w:r>
        <w:rPr>
          <w:b/>
          <w:bCs/>
        </w:rPr>
        <w:t xml:space="preserve">DELİLLER:</w:t>
      </w:r>
      <w:r>
        <w:t xml:space="preserve"> Olay yeri inceleme tutanağı ve fotoğrafları, kamera kaydının tamamı, [itfaiye raporu], [tapu kaydı / veraset ilamı / kira sözleşmesi / fatura], hasar bilirkişi raporu, tanık [Ad Soyad], [ödeme dekontu / tamir faturası / müşteki beyanı], adli sicil kaydı, [varsa emsal karar künyesi].</w:t>
      </w:r>
    </w:p>
    <w:p>
      <w:pPr>
        <w:jc w:val="both"/>
        <w:spacing w:after="120" w:line="276" w:lineRule="auto"/>
      </w:pPr>
      <w:r>
        <w:rPr>
          <w:b/>
          <w:bCs/>
        </w:rPr>
        <w:t xml:space="preserve">SONUÇ VE İSTEM:</w:t>
      </w:r>
      <w:r>
        <w:t xml:space="preserve"> Arz ve izah edilen nedenlerle;</w:t>
      </w:r>
    </w:p>
    <w:p>
      <w:pPr>
        <w:jc w:val="both"/>
        <w:spacing w:after="120" w:line="276" w:lineRule="auto"/>
      </w:pPr>
      <w:r>
        <w:t xml:space="preserve">1. </w:t>
      </w:r>
      <w:r>
        <w:t xml:space="preserve">Hükümden önce; hasarın gerçek bedelinin ve oluş biçiminin bilirkişiye tespit ettirilmesine, [kamera kaydının tamamının getirtilmesine], [tanık Ad Soyad'ın dinlenmesine], [itfaiyeden yangının çıkış sebebine ilişkin ayrıntılı rapor alınmasına],</w:t>
      </w:r>
    </w:p>
    <w:p>
      <w:pPr>
        <w:jc w:val="both"/>
        <w:spacing w:after="120" w:line="276" w:lineRule="auto"/>
      </w:pPr>
      <w:r>
        <w:t xml:space="preserve">2. </w:t>
      </w:r>
      <w:r>
        <w:t xml:space="preserve">Sanığın kastı bulunmadığından CMK 223/2-c uyarınca, [mal sanığa ait olduğundan ya da eylem suç tanımına uymadığından CMK 223/2-a uyarınca], [fiilin sanık tarafından işlendiği sabit olmadığından CMK 223/2-e uyarınca], [meşru savunma, zorunluluk hâli ya da hakkın kullanılması söz konusu olduğundan CMK 223/2-d uyarınca] BERAATİNE,</w:t>
      </w:r>
    </w:p>
    <w:p>
      <w:pPr>
        <w:jc w:val="both"/>
        <w:spacing w:after="120" w:line="276" w:lineRule="auto"/>
      </w:pPr>
      <w:r>
        <w:t xml:space="preserve">3. </w:t>
      </w:r>
      <w:r>
        <w:t xml:space="preserve">[Şikâyet süresi geçmişse ya da şikâyetten vazgeçilmişse: Davanın CMK 223/8 uyarınca DÜŞMESİNE; TCK 167/1 kapsamındaysa sanık hakkında cezaya hükmolunmamasına,]</w:t>
      </w:r>
    </w:p>
    <w:p>
      <w:pPr>
        <w:jc w:val="both"/>
        <w:spacing w:after="120" w:line="276" w:lineRule="auto"/>
      </w:pPr>
      <w:r>
        <w:t xml:space="preserve">4. </w:t>
      </w:r>
      <w:r>
        <w:t xml:space="preserve">Mahkemeniz aksi kanaatte ise terditli olarak; TCK 152'deki nitelikli hâllerin ve [152/3 artırımının] uygulanmayarak eylemin TCK 151/1 kapsamında nitelendirilmesine, dosyanın CMK 254/1 uyarınca uzlaştırma bürosuna gönderilmesine, [birden fazla müşteki varsa TCK 43/2 uyarınca tek ceza verilmesine],</w:t>
      </w:r>
    </w:p>
    <w:p>
      <w:pPr>
        <w:jc w:val="both"/>
        <w:spacing w:after="120" w:line="276" w:lineRule="auto"/>
      </w:pPr>
      <w:r>
        <w:t xml:space="preserve">5. </w:t>
      </w:r>
      <w:r>
        <w:t xml:space="preserve">Adli para cezasının seçilmesine, cezanın alt sınırdan tayinine; TCK 168, [29] ve 62 indirimlerinin uygulanmasına,</w:t>
      </w:r>
    </w:p>
    <w:p>
      <w:pPr>
        <w:jc w:val="both"/>
        <w:spacing w:after="120" w:line="276" w:lineRule="auto"/>
      </w:pPr>
      <w:r>
        <w:t xml:space="preserve">6. </w:t>
      </w:r>
      <w:r>
        <w:t xml:space="preserve">Hükmün açıklanmasının geri bırakılmasına (CMK 231/5); bu yol uygulanmazsa hapis cezasının ertelenmesine (TCK 51) ya da seçenek yaptırımlara çevrilmesine (TCK 50/1),</w:t>
      </w:r>
    </w:p>
    <w:p>
      <w:pPr>
        <w:jc w:val="both"/>
        <w:spacing w:after="120" w:line="276" w:lineRule="auto"/>
      </w:pPr>
      <w:r>
        <w:t xml:space="preserve">7. </w:t>
      </w:r>
      <w:r>
        <w:t xml:space="preserve">[Sanık tutuklu ise: Tahliyesine, gerekirse adli kontrol tedbiri uygulanmasına],</w:t>
      </w:r>
    </w:p>
    <w:p>
      <w:pPr>
        <w:jc w:val="both"/>
        <w:spacing w:after="120" w:line="276" w:lineRule="auto"/>
      </w:pPr>
      <w:r>
        <w:t xml:space="preserve">karar verilmesini [asaleten / vekâleten] saygıyla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[Olay yeri ve hasar fotoğrafları]</w:t>
      </w:r>
    </w:p>
    <w:p>
      <w:pPr>
        <w:jc w:val="both"/>
        <w:spacing w:after="120" w:line="276" w:lineRule="auto"/>
      </w:pPr>
      <w:r>
        <w:t xml:space="preserve">2. </w:t>
      </w:r>
      <w:r>
        <w:t xml:space="preserve">[Tapu kaydı / veraset ilamı / kira sözleşmesi / eklenti faturaları]</w:t>
      </w:r>
    </w:p>
    <w:p>
      <w:pPr>
        <w:jc w:val="both"/>
        <w:spacing w:after="120" w:line="276" w:lineRule="auto"/>
      </w:pPr>
      <w:r>
        <w:t xml:space="preserve">3. </w:t>
      </w:r>
      <w:r>
        <w:t xml:space="preserve">[Tamir faturası, ödeme dekontu ve müştekinin zararın karşılandığına dair beyanı]</w:t>
      </w:r>
    </w:p>
    <w:p>
      <w:pPr>
        <w:jc w:val="both"/>
        <w:spacing w:after="120" w:line="276" w:lineRule="auto"/>
      </w:pPr>
      <w:r>
        <w:t xml:space="preserve">4. </w:t>
      </w:r>
      <w:r>
        <w:t xml:space="preserve">[Müştekiye gönderilen bilgilendirme mesajları]</w:t>
      </w:r>
    </w:p>
    <w:p>
      <w:pPr>
        <w:jc w:val="both"/>
        <w:spacing w:after="120" w:line="276" w:lineRule="auto"/>
      </w:pPr>
      <w:r>
        <w:t xml:space="preserve">5. </w:t>
      </w:r>
      <w:r>
        <w:t xml:space="preserve">[Şikâyetten vazgeçme dilekçesi, nüfus kayıt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