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 / AĞIR CEZA MAHKEMESİ BAŞKANLIĞINA: tebligattaki mahkeme adını aynen yazın]</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MÜŞTEKİ / KATILAN:</w:t>
      </w:r>
      <w:r>
        <w:t xml:space="preserve"> [Ad Soyad / Şirket unvanı]</w:t>
      </w:r>
    </w:p>
    <w:p>
      <w:pPr>
        <w:jc w:val="both"/>
        <w:spacing w:after="120" w:line="276" w:lineRule="auto"/>
      </w:pPr>
      <w:r>
        <w:rPr>
          <w:b/>
          <w:bCs/>
        </w:rPr>
        <w:t xml:space="preserve">SUÇLAMA:</w:t>
      </w:r>
      <w:r>
        <w:t xml:space="preserve"> Güveni kötüye kullanma [TCK 155/1 / TCK 155/2; mütalaada istenmişse TCK 155/3 artırımı]</w:t>
      </w:r>
    </w:p>
    <w:p>
      <w:pPr>
        <w:jc w:val="both"/>
        <w:spacing w:after="120" w:line="276" w:lineRule="auto"/>
      </w:pPr>
      <w:r>
        <w:rPr>
          <w:b/>
          <w:bCs/>
        </w:rPr>
        <w:t xml:space="preserve">KONU:</w:t>
      </w:r>
      <w:r>
        <w:t xml:space="preserve"> [gg.aa.2026] tarihli oturumda açıklanan esas hakkındaki mütalaaya karşı savunmalarımızın, delil taleplerimizin ve terditli hüküm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özeti ve dayanakları:</w:t>
      </w:r>
      <w:r>
        <w:t xml:space="preserve"> Cumhuriyet savcısı, müştekiye ait [para / araç / makine / emtia / belge] üzerindeki zilyetliğin sanığa [gg.aa.20..] tarihinde [muhafaza / belirli bir işte kullanma / satıp bedelini getirme] amacıyla devredildiğini, sanığın bu malı [satarak / kendi borcuna kullanarak / iade etmeyerek / teslimi inkâr ederek] amaç dışı tasarrufta bulunduğunu kabul etmiş ve [TCK 155/1 / 155/2] uyarınca cezalandırılmasını istemiştir. Mütalaa yalnızca [müştekinin beyanına / bir teslim tutanağına / banka dekontuna] dayanmaktadır. Taraflar arasındaki ilişkinin bütünü, yapılan ödemeler ve karşılıklı alacaklar hiç araştırılmamıştır.</w:t>
      </w:r>
    </w:p>
    <w:p>
      <w:pPr>
        <w:jc w:val="both"/>
        <w:spacing w:after="120" w:line="276" w:lineRule="auto"/>
      </w:pPr>
      <w:r>
        <w:t xml:space="preserve">2. </w:t>
      </w:r>
      <w:r>
        <w:rPr>
          <w:b/>
          <w:bCs/>
        </w:rPr>
        <w:t xml:space="preserve">Malın başkasına ait olması unsuru:</w:t>
      </w:r>
      <w:r>
        <w:t xml:space="preserve"> TCK 155/1, failin elindeki malın başkasına ait olmasını arar. Somut olayda [para sanığa ödünç olarak verilmiştir / mal sanığa satılmış, bedeli kısmen ödenmiştir / mal ortaklığa aittir ve sanık ortaklardan biridir]. Ödünç verilen paranın mülkiyeti, tüketim ödüncü niteliği gereği ödünç alana geçer (TBK 386); ödünç alanın yükümlülüğü aynı paranın kendisini değil, aynı miktarda parayı geri vermektir. Kendi mülkiyetine geçmiş bir değeri geri ödemeyen kişi borçlu durumundadır; başkasına ait bir mal üzerinde tasarruf etmiş sayılmaz.</w:t>
      </w:r>
    </w:p>
    <w:p>
      <w:pPr>
        <w:jc w:val="both"/>
        <w:spacing w:after="120" w:line="276" w:lineRule="auto"/>
      </w:pPr>
      <w:r>
        <w:t xml:space="preserve">3. </w:t>
      </w:r>
      <w:r>
        <w:rPr>
          <w:b/>
          <w:bCs/>
        </w:rPr>
        <w:t xml:space="preserve">Zilyetliğin belirli bir amaçla devri unsuru:</w:t>
      </w:r>
      <w:r>
        <w:t xml:space="preserve"> Suçun ikinci unsuru, zilyetliğin "muhafaza etmek veya belirli bir şekilde kullanmak üzere" devredilmiş olmasıdır. Dosyada devrin amacını gösteren yazılı bir sözleşme, emanet senedi ya da talimat bulunmamaktadır. Müşteki ilk ifadesinde malı sanığa [satması için / kendi işinde kullanması için / karşılığında ödeme yapılması kararlaştırılarak] verdiğini söylemiş [ifade tarihi ve sayfası], duruşmada ise bunu "emanet" olarak tarif etmiştir. Devrin amacı ispatlanmadan, amaç dışı tasarruftan söz edilemez.</w:t>
      </w:r>
    </w:p>
    <w:p>
      <w:pPr>
        <w:jc w:val="both"/>
        <w:spacing w:after="120" w:line="276" w:lineRule="auto"/>
      </w:pPr>
      <w:r>
        <w:t xml:space="preserve">4. </w:t>
      </w:r>
      <w:r>
        <w:rPr>
          <w:b/>
          <w:bCs/>
        </w:rPr>
        <w:t xml:space="preserve">Devir amacı dışında tasarruf ya da devri inkâr unsuru:</w:t>
      </w:r>
      <w:r>
        <w:t xml:space="preserve"> Sanık, malın kendisine teslim edildiğini hiçbir aşamada inkâr etmemiştir; aksine [kolluk ifadesinde / ihtarnameye verdiği cevapta] teslimi kabul edip [iade için süre istediğini / malın nerede olduğunu bildirdiğini] açıklamıştır. Mal [satılmamış / rehnedilmemiş / üçüncü kişiye devredilmemiş] olup [halen sanığın elindedir / iade edilmek üzere hazır tutulmaktadır]. Geciken iade, tek başına amaç dışı tasarruf değildir; olsa olsa sözleşmeye aykırılık doğurur.</w:t>
      </w:r>
    </w:p>
    <w:p>
      <w:pPr>
        <w:jc w:val="both"/>
        <w:spacing w:after="120" w:line="276" w:lineRule="auto"/>
      </w:pPr>
      <w:r>
        <w:t xml:space="preserve">5. </w:t>
      </w:r>
      <w:r>
        <w:rPr>
          <w:b/>
          <w:bCs/>
        </w:rPr>
        <w:t xml:space="preserve">Kendisi veya başkası yararına hareket ve kast:</w:t>
      </w:r>
      <w:r>
        <w:t xml:space="preserve"> Güveni kötüye kullanma kasten işlenebilen bir suçtur (TCK 21/1); fail, malın kendisine belli bir amaçla bırakıldığını bilerek, bu amacı ihlal etme ve yarar sağlama iradesiyle hareket etmelidir. Sanık malı [müştekinin bilgisi ve onayıyla / müşteki adına yapılan bir ödeme için / taraflar arasındaki işin gereği olarak] kullanmıştır. Kullanımın müştekiye bildirildiğini gösteren [mesaj / e-posta / tanık] dosyaya sunulmuştur. Gizlenmeyen, kayda geçirilen ve hesabı verilen bir kullanım, güveni kötüye kullanma kastını göstermez.</w:t>
      </w:r>
    </w:p>
    <w:p>
      <w:pPr>
        <w:jc w:val="both"/>
        <w:spacing w:after="120" w:line="276" w:lineRule="auto"/>
      </w:pPr>
      <w:r>
        <w:t xml:space="preserve">6. </w:t>
      </w:r>
      <w:r>
        <w:rPr>
          <w:b/>
          <w:bCs/>
        </w:rPr>
        <w:t xml:space="preserve">Uyuşmazlığın hukuki niteliği:</w:t>
      </w:r>
      <w:r>
        <w:t xml:space="preserve"> Taraflar arasında [gg.aa.20..] tarihinden bu yana süren [ticari ilişki / ortaklık / kira / vekâlet / işçi-işveren ilişkisi] bulunmaktadır. İlişki süresince karşılıklı mal ve para akışı olmuş, kimin kime ne kadar borçlu olduğu taraflarca tartışmalı hâle gelmiştir. Müştekinin [gg.aa.20..] tarihinde [icra takibi başlattığı / alacak davası açtığı / ihtarname çektiği] görülmektedir [takip veya dava numarası]. Bir alacağın tahsili için ceza yargılamasının araç olarak kullanılması mümkün değildir. Hesaplaşma gerektiren bu uyuşmazlık, hukuk mahkemesinde çözülmesi gereken bir borç ilişkisidir; Yargıtay'ın yerleşik uygulamasında da salt borcun ödenmemesi güveni kötüye kullanma suçunu oluşturmaz [varsa emsal karar künyesi].</w:t>
      </w:r>
    </w:p>
    <w:p>
      <w:pPr>
        <w:jc w:val="both"/>
        <w:spacing w:after="120" w:line="276" w:lineRule="auto"/>
      </w:pPr>
      <w:r>
        <w:t xml:space="preserve">7. </w:t>
      </w:r>
      <w:r>
        <w:t xml:space="preserve">[SEÇENEK — dosyanıza uyuyorsa kullanın: sanığın müştekiden alacağı varsa] Sanığın müştekiden [ücret / komisyon / masraf / mal bedeli] kaynaklı [tutar] TL alacağı bulunmaktadır [fatura, cari hesap ekstresi, yazışma]. Alacaklı, borçluya ait olup onun rızasıyla elinde bulunan taşınırı, borç muaccel olduğu ve eşya alacakla bağlantılı olduğu sürece hapsedebilir (TMK 950); tacirler arasında bu bağlantı var sayılır. Sanık malı satmamış, yalnızca alacağı ödenene kadar elinde tutmuştur. Hukuken tanınan bir hakkın kullanılması suç oluşturmaz (TCK 26/1).</w:t>
      </w:r>
    </w:p>
    <w:p>
      <w:pPr>
        <w:jc w:val="both"/>
        <w:spacing w:after="120" w:line="276" w:lineRule="auto"/>
      </w:pPr>
      <w:r>
        <w:t xml:space="preserve">8. </w:t>
      </w:r>
      <w:r>
        <w:t xml:space="preserve">[SEÇENEK — dosyanıza uyuyorsa kullanın: karşılıklı para borçları varsa] Taraflar birbirine para borçludur ve her iki borç da muacceldir. Sanık, elindeki [tutar] TL'yi müştekinin kendisine olan [tutar] TL borcuyla takas ettiğini [gg.aa.20..] tarihli [mesaj / ihtarname] ile müştekiye bildirmiştir. Alacaklardan biri çekişmeli olsa bile takas ileri sürülebilir (TBK 139). Takas beyanında bulunan ve bunu gizlemeyen kişinin hukuka aykırı yarar sağlama kastı yoktur; tarafların alacak miktarındaki uyuşmazlığı hukuk yargılamasının konusudur.</w:t>
      </w:r>
    </w:p>
    <w:p>
      <w:pPr>
        <w:jc w:val="both"/>
        <w:spacing w:after="120" w:line="276" w:lineRule="auto"/>
      </w:pPr>
      <w:r>
        <w:t xml:space="preserve">9. </w:t>
      </w:r>
      <w:r>
        <w:t xml:space="preserve">[SEÇENEK — dosyanıza uyuyorsa kullanın: mütalaada 155/2 istendiyse] Mal sanığa bir meslek, sanat, ticaret ya da hizmet ilişkisinin gereği olarak değil, [akrabalık / arkadaşlık / komşuluk] ilişkisi içinde bırakılmıştır. Sanık müştekinin [çalışanı / temsilcisi / vekili] değildir; aralarında ücret, komisyon ya da yetki belgesi yoktur. Ağırlaştırıcı hâlin uygulanabilmesi için malın bu ilişkinin gereği olarak tevdi ve teslim edildiğinin ayrıca ispatı gerekir. Bu ispat yapılmadığından eylem, en fazla şikâyete bağlı temel hâl olan TCK 155/1 kapsamında değerlendirilebilir.</w:t>
      </w:r>
    </w:p>
    <w:p>
      <w:pPr>
        <w:jc w:val="both"/>
        <w:spacing w:after="120" w:line="276" w:lineRule="auto"/>
      </w:pPr>
      <w:r>
        <w:t xml:space="preserve">10. </w:t>
      </w:r>
      <w:r>
        <w:t xml:space="preserve">[SEÇENEK — dosyanıza uyuyorsa kullanın: kiralık ya da emanet araç, 155/3 istendiyse] Suçun konusunun motorlu taşıt olması hâlinde cezanın bir kat artırılmasını öngören TCK 155/3, 7571 sayılı Kanunla eklenmiştir. Eylem tarihi [gg.aa.20..] olup bu hükmün yürürlüğünden öncedir; suç tarihinde yürürlükte olmayan ağırlaştırıcı hüküm sanık aleyhine uygulanamaz (TCK 7/2). Ayrıca araç [gg.aa.20..] tarihinde [kiralama şirketine / müştekiye] teslim edilmiş [teslim tutanağı], gecikme süresine ait bedel [ödenmiş / ödenmeye hazır] durumdadır. Kira süresinin aşılması tek başına aracın amaç dışı kullanıldığını göstermez.</w:t>
      </w:r>
    </w:p>
    <w:p>
      <w:pPr>
        <w:jc w:val="both"/>
        <w:spacing w:after="120" w:line="276" w:lineRule="auto"/>
      </w:pPr>
      <w:r>
        <w:t xml:space="preserve">11. </w:t>
      </w:r>
      <w:r>
        <w:t xml:space="preserve">[SEÇENEK — dosyanıza uyuyorsa kullanın: mütalaa dolandırıcılık nitelendirmesine yöneliyorsa] Mal sanığa müştekinin kendi iradesiyle, herhangi bir hileli davranış olmadan teslim edilmiştir. Teslim anında sanığın malı geri vermeme niyetinde olduğunu gösteren tek bir delil yoktur; taraflar teslimden sonra [kaç ay] boyunca olağan ilişkilerini sürdürmüştür. Hile unsuru bulunmadığından eylem TCK 157 kapsamında değerlendirilemez.</w:t>
      </w:r>
    </w:p>
    <w:p>
      <w:pPr>
        <w:jc w:val="both"/>
        <w:spacing w:after="120" w:line="276" w:lineRule="auto"/>
      </w:pPr>
      <w:r>
        <w:t xml:space="preserve">12. </w:t>
      </w:r>
      <w:r>
        <w:t xml:space="preserve">[SEÇENEK — dosyanıza uyuyorsa kullanın: boş kâğıt ya da senet söz konusuysa] Müştekinin iddiası, sanığa imzalı olarak bırakılan boş bir kâğıdın farklı doldurulmasına ilişkindir. Böyle bir iddia güveni kötüye kullanma değil, şikâyete bağlı açığa imzanın kötüye kullanılması (TCK 209/1) olarak değerlendirilmelidir. Bu suç bakımından şikâyetin süresinde yapılıp yapılmadığı da ayrıca incelenmelidir.</w:t>
      </w:r>
    </w:p>
    <w:p>
      <w:pPr>
        <w:jc w:val="both"/>
        <w:spacing w:after="120" w:line="276" w:lineRule="auto"/>
      </w:pPr>
      <w:r>
        <w:t xml:space="preserve">13. </w:t>
      </w:r>
      <w:r>
        <w:rPr>
          <w:b/>
          <w:bCs/>
        </w:rPr>
        <w:t xml:space="preserve">Şikâyet şartı:</w:t>
      </w:r>
      <w:r>
        <w:t xml:space="preserve"> [Eylem TCK 155/1 kapsamında kalıyorsa:] Temel hâl şikâyete bağlıdır. Müşteki, fiili ve faili en geç [gg.aa.20..] tarihinde öğrenmiş, bu tarihi kendi ifadesinde ve [ihtarnamede / mesajda] açıkça belirtmiştir. Şikâyet ise [gg.aa.20..] tarihinde, altı aylık süre dolduktan sonra yapılmıştır (TCK 73/1). [Müşteki [gg.aa.2026] tarihli beyanıyla şikâyetinden vazgeçmiştir; vazgeçme davayı düşürür (TCK 73/4).]</w:t>
      </w:r>
    </w:p>
    <w:p>
      <w:pPr>
        <w:jc w:val="both"/>
        <w:spacing w:after="120" w:line="276" w:lineRule="auto"/>
      </w:pPr>
      <w:r>
        <w:t xml:space="preserve">14. </w:t>
      </w:r>
      <w:r>
        <w:t xml:space="preserve">[SEÇENEK — dosyanıza uyuyorsa kullanın: aile içi olay] Müşteki sanığın [eşi / annesi / babası / çocuğu / aynı evde yaşayan kardeşi] olup aralarında ayrılık kararı yoktur. Malvarlığına karşı suçlarda bu yakınlar zararına işlenen fiil nedeniyle ilgili akraba hakkında cezaya hükmolunmaz (TCK 167/1). [Yakınlık 167/2 kapsamındaysa cezanın yarı oranında indirilmesi gerekir.]</w:t>
      </w:r>
    </w:p>
    <w:p>
      <w:pPr>
        <w:jc w:val="both"/>
        <w:spacing w:after="120" w:line="276" w:lineRule="auto"/>
      </w:pPr>
      <w:r>
        <w:t xml:space="preserve">15. </w:t>
      </w:r>
      <w:r>
        <w:rPr>
          <w:b/>
          <w:bCs/>
        </w:rPr>
        <w:t xml:space="preserve">Usule ilişkin itirazlar:</w:t>
      </w:r>
      <w:r>
        <w:t xml:space="preserve"> Sanığın [gg.aa.20..] tarihli kolluk ifadesi müdafi bulunmadan alınmış ve sanık bu ifadeyi duruşmada doğrulamamıştır; ifade hükme esas alınamaz (CMK 148/4). Müştekinin sunduğu hesap dökümü tek taraflı olarak hazırlanmıştır. Tarafların ticari defterleri, banka hesap hareketleri ve aralarındaki yazışmalar üzerinde mali bilirkişi incelemesi yaptırılmadan zararın varlığı ve miktarı belirlenemez (CMK 63/1). Bu talebin reddi için CMK 206/2'de sayılan hiçbir sebep yoktur.</w:t>
      </w:r>
    </w:p>
    <w:p>
      <w:pPr>
        <w:jc w:val="both"/>
        <w:spacing w:after="120" w:line="276" w:lineRule="auto"/>
      </w:pPr>
      <w:r>
        <w:t xml:space="preserve">16. </w:t>
      </w:r>
      <w:r>
        <w:rPr>
          <w:b/>
          <w:bCs/>
        </w:rPr>
        <w:t xml:space="preserve">Zararın giderilmesi:</w:t>
      </w:r>
      <w:r>
        <w:t xml:space="preserve"> Sanık [gg.aa.2026] tarihinde malı aynen iade etmiş / [tutar] TL ödemiştir [dekont, teslim tutanağı, müşteki beyanı]. Zarar kovuşturma başlamadan önce giderildiyse TCK 168/1 uyarınca cezanın üçte ikisine kadar, iddianamenin kabulünden sonra ve hükümden önce giderildiyse TCK 168/2 uyarınca yarısına kadar indirim yapılmalıdır. [Kısmi ödemede müştekinin rızası TCK 168/4 gereği ekte sunulmuştur.] Zararın tamamen giderilmesi aynı zamanda hükmün açıklanmasının geri bırakılmasının şartlarından biridir (CMK 231/6-c).</w:t>
      </w:r>
    </w:p>
    <w:p>
      <w:pPr>
        <w:jc w:val="both"/>
        <w:spacing w:after="120" w:line="276" w:lineRule="auto"/>
      </w:pPr>
      <w:r>
        <w:t xml:space="preserve">17. </w:t>
      </w:r>
      <w:r>
        <w:rPr>
          <w:b/>
          <w:bCs/>
        </w:rPr>
        <w:t xml:space="preserve">Uzlaştırma:</w:t>
      </w:r>
      <w:r>
        <w:t xml:space="preserve"> TCK 155/1 şikâyete bağlı olduğu için, TCK 155/2 ise kanundaki liste gereği uzlaştırma kapsamındadır (CMK 253/1). Dosyanın uzlaştırma bürosuna gönderilip gönderilmediği anlaşılamamaktadır. Eylem bu kapsamda kalıyorsa hüküm kurulmadan dosyanın CMK 254/1 uyarınca uzlaştırma bürosuna gönderilmesi gerekir.</w:t>
      </w:r>
    </w:p>
    <w:p>
      <w:pPr>
        <w:jc w:val="both"/>
        <w:spacing w:after="120" w:line="276" w:lineRule="auto"/>
      </w:pPr>
      <w:r>
        <w:t xml:space="preserve">18. </w:t>
      </w:r>
      <w:r>
        <w:rPr>
          <w:b/>
          <w:bCs/>
        </w:rPr>
        <w:t xml:space="preserve">Cezanın belirlenmesi:</w:t>
      </w:r>
      <w:r>
        <w:t xml:space="preserve"> Sanığın adli sicil kaydı [bulunmamaktadır / yalnız taksirli bir suçtan kayıt vardır]. Malın değeri [tutar] TL olup zarar [giderilmiş / büyük ölçüde karşılanmış], sanık yargılama boyunca duruşmalara katılmış ve iade iradesini açıkça göstermiştir. Temel ceza TCK 61/1 ölçütlerine göre alt sınırdan belirlenmeli, takdiri indirim (TCK 62) uygulanmalıdır. Hapis cezası ile birlikte öngörülen adli para cezasının gün sayısı da alt sınırdan tayin edilmelidir.</w:t>
      </w:r>
    </w:p>
    <w:p>
      <w:pPr>
        <w:jc w:val="both"/>
        <w:spacing w:after="120" w:line="276" w:lineRule="auto"/>
      </w:pPr>
      <w:r>
        <w:rPr>
          <w:b/>
          <w:bCs/>
        </w:rPr>
        <w:t xml:space="preserve">HUKUKİ NEDENLER:</w:t>
      </w:r>
      <w:r>
        <w:t xml:space="preserve"> TCK m.7, 21, 26, 61, 62, 73, 155, 157, 167, 168, 209; CMK m.63, 148, 206, 216, 223, 226, 231, 253, 254; TMK m.950; TBK m.139, 386 ve ilgili mevzuat.</w:t>
      </w:r>
    </w:p>
    <w:p>
      <w:pPr>
        <w:jc w:val="both"/>
        <w:spacing w:after="120" w:line="276" w:lineRule="auto"/>
      </w:pPr>
      <w:r>
        <w:rPr>
          <w:b/>
          <w:bCs/>
        </w:rPr>
        <w:t xml:space="preserve">DELİLLER:</w:t>
      </w:r>
      <w:r>
        <w:t xml:space="preserve"> Taraflar arasındaki [sözleşme / yazışmalar / ihtarnameler], banka hesap hareketleri, [cari hesap ekstresi, faturalar], [icra takip dosyası / hukuk dava dosyası], teslim ve iade tutanakları, tanık [Ad Soyad], mali bilirkişi incelemesi, adli sicil kaydı, [varsa emsal karar künyesi].</w:t>
      </w:r>
    </w:p>
    <w:p>
      <w:pPr>
        <w:jc w:val="both"/>
        <w:spacing w:after="120" w:line="276" w:lineRule="auto"/>
      </w:pPr>
      <w:r>
        <w:rPr>
          <w:b/>
          <w:bCs/>
        </w:rPr>
        <w:t xml:space="preserve">SONUÇ VE İSTEM:</w:t>
      </w:r>
      <w:r>
        <w:t xml:space="preserve"> Açıklanan sebeplerle;</w:t>
      </w:r>
    </w:p>
    <w:p>
      <w:pPr>
        <w:jc w:val="both"/>
        <w:spacing w:after="120" w:line="276" w:lineRule="auto"/>
      </w:pPr>
      <w:r>
        <w:t xml:space="preserve">1. </w:t>
      </w:r>
      <w:r>
        <w:t xml:space="preserve">Hüküm kurulmadan önce; taraflar arasındaki ilişkinin bütününü gösteren [ticari defterler / banka kayıtları / cari hesap] üzerinde mali bilirkişi incelemesi yaptırılmasına, [icra / hukuk dava dosyasının] getirtilmesine, [tanık Ad Soyad'ın] dinlenmesine,</w:t>
      </w:r>
    </w:p>
    <w:p>
      <w:pPr>
        <w:jc w:val="both"/>
        <w:spacing w:after="120" w:line="276" w:lineRule="auto"/>
      </w:pPr>
      <w:r>
        <w:t xml:space="preserve">2. </w:t>
      </w:r>
      <w:r>
        <w:t xml:space="preserve">Uyuşmazlık hukuki nitelikte olup suçun kanuni unsurları oluşmadığından CMK 223/2-a uyarınca, [kast bulunmadığından CMK 223/2-c uyarınca; hapis hakkı veya takas hakkı kullanıldığından CMK 223/2-d uyarınca] sanığın BERAATİNE,</w:t>
      </w:r>
    </w:p>
    <w:p>
      <w:pPr>
        <w:jc w:val="both"/>
        <w:spacing w:after="120" w:line="276" w:lineRule="auto"/>
      </w:pPr>
      <w:r>
        <w:t xml:space="preserve">3. </w:t>
      </w:r>
      <w:r>
        <w:t xml:space="preserve">[Şikâyet süresi geçmişse ya da şikâyetten vazgeçilmişse: Davanın CMK 223/8 uyarınca DÜŞMESİNE; TCK 167/1 kapsamındaysa sanık hakkında cezaya hükmolunmamasına,]</w:t>
      </w:r>
    </w:p>
    <w:p>
      <w:pPr>
        <w:jc w:val="both"/>
        <w:spacing w:after="120" w:line="276" w:lineRule="auto"/>
      </w:pPr>
      <w:r>
        <w:t xml:space="preserve">4. </w:t>
      </w:r>
      <w:r>
        <w:t xml:space="preserve">Mahkemeniz aksi kanaatte ise terditli olarak; eylemin TCK 155/2 değil TCK 155/1 kapsamında nitelendirilmesine, [TCK 155/3 artırımının uygulanmamasına], [dolandırıcılık nitelendirmesine itibar edilmemesine], dosyanın CMK 254/1 uyarınca uzlaştırma bürosuna gönderilmesine,</w:t>
      </w:r>
    </w:p>
    <w:p>
      <w:pPr>
        <w:jc w:val="both"/>
        <w:spacing w:after="120" w:line="276" w:lineRule="auto"/>
      </w:pPr>
      <w:r>
        <w:t xml:space="preserve">5. </w:t>
      </w:r>
      <w:r>
        <w:t xml:space="preserve">Temel cezanın ve adli para cezasının alt sınırdan tayinine; TCK 168 ve TCK 62 indirimlerinin uygulanmasına, [TCK 167/2 kapsamındaysa yarı oranında indirime],</w:t>
      </w:r>
    </w:p>
    <w:p>
      <w:pPr>
        <w:jc w:val="both"/>
        <w:spacing w:after="120" w:line="276" w:lineRule="auto"/>
      </w:pPr>
      <w:r>
        <w:t xml:space="preserve">6. </w:t>
      </w:r>
      <w:r>
        <w:t xml:space="preserve">Hükmolunacak cezanın açıklanmasının geri bırakılmasına (CMK 231/5); bu mümkün olmazsa ertelenmesine (TCK 51) ya da adli para cezasına veya diğer seçenek yaptırımlara çevrilmesine (TCK 50),</w:t>
      </w:r>
    </w:p>
    <w:p>
      <w:pPr>
        <w:jc w:val="both"/>
        <w:spacing w:after="120" w:line="276" w:lineRule="auto"/>
      </w:pPr>
      <w:r>
        <w:t xml:space="preserve">7. </w:t>
      </w:r>
      <w:r>
        <w:t xml:space="preserve">[Sanık tutuklu ise: Tahliyesine, gerekirse adli kontrol tedbiri uygulanmasına],</w:t>
      </w:r>
    </w:p>
    <w:p>
      <w:pPr>
        <w:jc w:val="both"/>
        <w:spacing w:after="120" w:line="276" w:lineRule="auto"/>
      </w:pPr>
      <w:r>
        <w:t xml:space="preserve">karar verilmesini saygılarımla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[Sözleşme, yazışma ve ihtarname örnekleri]</w:t>
      </w:r>
    </w:p>
    <w:p>
      <w:pPr>
        <w:jc w:val="both"/>
        <w:spacing w:after="120" w:line="276" w:lineRule="auto"/>
      </w:pPr>
      <w:r>
        <w:t xml:space="preserve">2. </w:t>
      </w:r>
      <w:r>
        <w:t xml:space="preserve">[Banka hesap hareketleri, faturalar, cari hesap ekstresi]</w:t>
      </w:r>
    </w:p>
    <w:p>
      <w:pPr>
        <w:jc w:val="both"/>
        <w:spacing w:after="120" w:line="276" w:lineRule="auto"/>
      </w:pPr>
      <w:r>
        <w:t xml:space="preserve">3. </w:t>
      </w:r>
      <w:r>
        <w:t xml:space="preserve">[İcra takibi ya da hukuk davası belgeleri]</w:t>
      </w:r>
    </w:p>
    <w:p>
      <w:pPr>
        <w:jc w:val="both"/>
        <w:spacing w:after="120" w:line="276" w:lineRule="auto"/>
      </w:pPr>
      <w:r>
        <w:t xml:space="preserve">4. </w:t>
      </w:r>
      <w:r>
        <w:t xml:space="preserve">[İade tutanağı / ödeme dekontu / müştekinin rıza beyanı]</w:t>
      </w:r>
    </w:p>
    <w:p>
      <w:pPr>
        <w:jc w:val="both"/>
        <w:spacing w:after="120" w:line="276" w:lineRule="auto"/>
      </w:pPr>
      <w:r>
        <w:t xml:space="preserve">5. </w:t>
      </w:r>
      <w:r>
        <w:t xml:space="preserve">[Şikâyetten vazgeçme beyanı, nüfus kayıt örneği (TCK 167 için)]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