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 [mağdur çocuksa: veli veya vasisi aracılığıyla]</w:t>
      </w:r>
    </w:p>
    <w:p>
      <w:pPr>
        <w:jc w:val="both"/>
        <w:spacing w:after="120" w:line="276" w:lineRule="auto"/>
      </w:pPr>
      <w:r>
        <w:rPr>
          <w:b/>
          <w:bCs/>
        </w:rPr>
        <w:t xml:space="preserve">SUÇ:</w:t>
      </w:r>
      <w:r>
        <w:t xml:space="preserve"> Cinsel taciz (TCK m.105/1 [ve 105/2-a / b / c / d / e])</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Cinsel taciz suçlamasına karşı esas hakkındaki savunmamız ile delil, nitelendirme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Suçlamanın içeriği:</w:t>
      </w:r>
      <w:r>
        <w:t xml:space="preserve"> Mütalaada sanığın [gg.aa.yyyy] tarihinde [iş yerinde / okulda / mesajla / sosyal medya hesabından] müştekiye yönelik "[tutanakta geçen söz, mesaj veya davranışın birebir anlatımı]" şeklindeki davranışının cinsel taciz oluşturduğu kabul edilmiş ve TCK 105/[fıkra ve bent] uyarınca ceza istenmiştir. Bu kabulün dayanağı [müştekinin beyanı / [sayı] adet ekran görüntüsü / tanık [sıfatı] beyanı]dır. Sanık, isnat edilen davranışı [hiç gerçekleştirmediğini / söz konusu sözün cinsel bir anlam taşımadığını / mesajın karşılıklı bir yazışmanın parçası olduğunu] başından beri tutarlı biçimde savunmuştur.</w:t>
      </w:r>
    </w:p>
    <w:p>
      <w:pPr>
        <w:jc w:val="both"/>
        <w:spacing w:after="120" w:line="276" w:lineRule="auto"/>
      </w:pPr>
      <w:r>
        <w:t xml:space="preserve">2. </w:t>
      </w:r>
      <w:r>
        <w:rPr>
          <w:b/>
          <w:bCs/>
        </w:rPr>
        <w:t xml:space="preserve">Cinsel amaç unsuru:</w:t>
      </w:r>
      <w:r>
        <w:t xml:space="preserve"> TCK 105, davranışın "cinsel amaçlı" olmasını arar; bir sözün kaba, yersiz ya da rahatsız edici olması bu unsuru tek başına karşılamaz. Cinsel amaç, sözün içeriği, söylendiği ortam, taraflar arasındaki ilişki ve davranışın tekrarlanıp tekrarlanmadığına bakılarak belirlenir. Sanığın sözü [mesai sırasında herkesin önünde yapılan bir iltifat / iş arkadaşları arasında süregelen bir şaka diline ait bir ifade / müştekinin giyimiyle ilgili işyeri kuralına dair bir uyarı]dır. Sözün cinsel bir yakınlaşma talebi, cinsel içerikli bir çağrı ya da cinsel bir ima taşıdığını gösteren hiçbir olgu yoktur.</w:t>
      </w:r>
    </w:p>
    <w:p>
      <w:pPr>
        <w:jc w:val="both"/>
        <w:spacing w:after="120" w:line="276" w:lineRule="auto"/>
      </w:pPr>
      <w:r>
        <w:t xml:space="preserve">3. </w:t>
      </w:r>
      <w:r>
        <w:rPr>
          <w:b/>
          <w:bCs/>
        </w:rPr>
        <w:t xml:space="preserve">Müştekinin beyanı ve destekleyici delil:</w:t>
      </w:r>
      <w:r>
        <w:t xml:space="preserve"> Müştekinin beyanı ciddiyetle değerlendirilmelidir; ancak mahkûmiyet, beyanın kendi içinde tutarlı olmasına ve dosyadaki başka olgularla desteklenmesine bağlıdır. Müşteki kollukta olayın [tarihini / yerini / sözün içeriğini] "[ilk beyan]" şeklinde anlatmış, duruşmada ise "[sonraki beyan]" demiştir. İlk beyanda yer almayan [davranış] sonradan eklenmiştir. Olayın gerçekleştiği söylenen [ofis / koridor / araç] [kalabalık ve açık bir alandır]; orada bulunan [tanıkların sıfatı] böyle bir davranış görmediklerini beyan etmiştir. Bu çelişkiler giderilmeden beyan tek başına hükme esas alınamaz.</w:t>
      </w:r>
    </w:p>
    <w:p>
      <w:pPr>
        <w:jc w:val="both"/>
        <w:spacing w:after="120" w:line="276" w:lineRule="auto"/>
      </w:pPr>
      <w:r>
        <w:t xml:space="preserve">4. </w:t>
      </w:r>
      <w:r>
        <w:rPr>
          <w:b/>
          <w:bCs/>
        </w:rPr>
        <w:t xml:space="preserve">Şikâyetin zamanı ve taraflar arasındaki uyuşmazlık:</w:t>
      </w:r>
      <w:r>
        <w:t xml:space="preserve"> [SEÇENEK — dosyanıza uyuyorsa kullanın] Şikâyet, iddia edilen olaydan [süre] sonra ve [müştekinin performans değerlendirmesinin olumsuz sonuçlanmasından / iş sözleşmesinin feshinden / taraflar arasındaki boşanma veya velayet davasının açılmasından / bir alacak tartışmasından] hemen sonra yapılmıştır. Bu durum şikâyeti kendiliğinden geçersiz kılmaz; ancak gecikmenin nedeni ve olaylar arasındaki zaman bağı, beyanın değerlendirilmesinde gözetilmesi gereken bir olgudur.</w:t>
      </w:r>
    </w:p>
    <w:p>
      <w:pPr>
        <w:jc w:val="both"/>
        <w:spacing w:after="120" w:line="276" w:lineRule="auto"/>
      </w:pPr>
      <w:r>
        <w:t xml:space="preserve">5. </w:t>
      </w:r>
      <w:r>
        <w:rPr>
          <w:b/>
          <w:bCs/>
        </w:rPr>
        <w:t xml:space="preserve">İşyerinde veya okulda yürütülen inceleme:</w:t>
      </w:r>
      <w:r>
        <w:t xml:space="preserve"> [SEÇENEK — işyeri ya da okul ortamında geçen dosyalarda] Aynı iddia hakkında [işveren / okul yönetimi / kurum] tarafından [gg.aa.yyyy] tarihinde bir inceleme yapılmış, dinlenen [sayı] çalışan veya öğrenci, müştekinin anlattığı davranışı görmediğini ya da duymadığını bildirmiştir. Bu inceleme ceza mahkemesini bağlamaz; ancak aynı kişilerin olaydan kısa süre sonra verdiği beyanlar, olayın taze olduğu dönemi yansıttığı için önemlidir. İnceleme dosyasının getirtilmesini ve bu kişilerin tanık olarak dinlenmesini talep ediyoruz.</w:t>
      </w:r>
    </w:p>
    <w:p>
      <w:pPr>
        <w:jc w:val="both"/>
        <w:spacing w:after="120" w:line="276" w:lineRule="auto"/>
      </w:pPr>
      <w:r>
        <w:t xml:space="preserve">6. </w:t>
      </w:r>
      <w:r>
        <w:rPr>
          <w:b/>
          <w:bCs/>
        </w:rPr>
        <w:t xml:space="preserve">Mesajların bağlamı ve bütünlüğü:</w:t>
      </w:r>
      <w:r>
        <w:t xml:space="preserve"> [SEÇENEK — mesaja dayanan dosyalarda] Dosyadaki [sayı] ekran görüntüsü, yazışmanın yalnız sanığa ait kısmını göstermektedir. Telefondan dışa aktarılan tam döküm, mesajların [tarafların ikisinin de katıldığı bir şakalaşmanın / müştekinin aynı içerikte yazdığı mesajların] ortasında yer aldığını göstermektedir. Müşteki bu mesajlardan sonra da sanıkla [yazışmaya devam etmiş / iş konularında olağan biçimde iletişim kurmuş]tur. Yazışmanın tamamı ekte sunulmuştur; telefonların bilirkişiye incelettirilmesini talep ediyoruz.</w:t>
      </w:r>
    </w:p>
    <w:p>
      <w:pPr>
        <w:jc w:val="both"/>
        <w:spacing w:after="120" w:line="276" w:lineRule="auto"/>
      </w:pPr>
      <w:r>
        <w:t xml:space="preserve">7. </w:t>
      </w:r>
      <w:r>
        <w:rPr>
          <w:b/>
          <w:bCs/>
        </w:rPr>
        <w:t xml:space="preserve">Temas iddiası ve TCK 102'ye nitelendirme riski:</w:t>
      </w:r>
      <w:r>
        <w:t xml:space="preserve"> [SEÇENEK — katılan veya mütalaa fiziksel temastan söz ediyorsa] TCK 105, vücuda temas olmadan işlenen cinsel amaçlı davranışları kapsar; temas hâlinde suç cinsel saldırıya (TCK 102/1), mağdur çocuksa çocuğun cinsel istismarına (TCK 103/1) döner. Dosyada sanığın müştekiye dokunduğunu gösteren [kamera kaydı / tanık / adli tıp bulgusu] yoktur; temas iddiası ilk kez [duruşmada / mütalaadan sonra] ileri sürülmüştür. [Temas sabitse: Temas, [kalabalık bir ortamda geçerken / tokalaşma sırasında] gerçekleşmiş, cinsel amaç taşımayan anlık bir dokunmadır.] Mahkeme eylemi TCK 102 kapsamında değerlendirmeyi düşünüyorsa, sanığa önceden haber verilerek ek savunma hakkı tanınmalıdır (CMK 226/1).</w:t>
      </w:r>
    </w:p>
    <w:p>
      <w:pPr>
        <w:jc w:val="both"/>
        <w:spacing w:after="120" w:line="276" w:lineRule="auto"/>
      </w:pPr>
      <w:r>
        <w:t xml:space="preserve">8. </w:t>
      </w:r>
      <w:r>
        <w:rPr>
          <w:b/>
          <w:bCs/>
        </w:rPr>
        <w:t xml:space="preserve">Nitelikli hâllere itiraz (TCK 105/2):</w:t>
      </w:r>
      <w:r>
        <w:t xml:space="preserve"> [Dosyanızdaki bendi seçin, diğerlerini silin.] </w:t>
      </w:r>
      <w:r>
        <w:rPr>
          <w:i/>
          <w:iCs/>
        </w:rPr>
        <w:t xml:space="preserve">Hizmet ilişkisi veya aynı işyeri (a, c):</w:t>
      </w:r>
      <w:r>
        <w:t xml:space="preserve"> Sanık müştekinin amiri değildir; [farklı birimlerde / farklı binalarda] çalışmaktadırlar. İddia edilen davranış [mesai dışında / iş yeri dışında] gerçekleşmiştir; işyerinin sağladığı bir kolaylıktan yararlanıldığı gösterilmemiştir. </w:t>
      </w:r>
      <w:r>
        <w:rPr>
          <w:i/>
          <w:iCs/>
        </w:rPr>
        <w:t xml:space="preserve">Elektronik haberleşme (d):</w:t>
      </w:r>
      <w:r>
        <w:t xml:space="preserve"> Söz yüz yüze söylendiği iddia edilmektedir; bu bent ancak tacizin bu araçların sağladığı kolaylıktan yararlanılarak yapılması hâlinde uygulanır. </w:t>
      </w:r>
      <w:r>
        <w:rPr>
          <w:i/>
          <w:iCs/>
        </w:rPr>
        <w:t xml:space="preserve">Teşhir (e):</w:t>
      </w:r>
      <w:r>
        <w:t xml:space="preserve"> Dosyada teşhir niteliğinde bir davranış yoktur. Birden fazla bent sayılmış olsa bile artırım bir kez yapılır. </w:t>
      </w:r>
      <w:r>
        <w:rPr>
          <w:i/>
          <w:iCs/>
        </w:rPr>
        <w:t xml:space="preserve">İşi veya okulu bırakma sonucu:</w:t>
      </w:r>
      <w:r>
        <w:t xml:space="preserve"> Müştekinin [istifası / okul değişikliği] [başka bir iş teklifi / taşınma / önceden başlayan bir süreç] nedeniyledir; sanığın davranışıyla nedensellik bağı kurulmamıştır.</w:t>
      </w:r>
    </w:p>
    <w:p>
      <w:pPr>
        <w:jc w:val="both"/>
        <w:spacing w:after="120" w:line="276" w:lineRule="auto"/>
      </w:pPr>
      <w:r>
        <w:t xml:space="preserve">9. </w:t>
      </w:r>
      <w:r>
        <w:rPr>
          <w:b/>
          <w:bCs/>
        </w:rPr>
        <w:t xml:space="preserve">Çocuğa karşı işleme iddiası:</w:t>
      </w:r>
      <w:r>
        <w:t xml:space="preserve"> [SEÇENEK — mağdur 18 yaşından küçükse] Sanık, mağdurun yaşını bilmediği bir ortamda [mağdurun sosyal medya profilinde kendini yetişkin olarak tanıttığı / üniversite öğrencisi olduğunu söylediği bir platformda] iletişim kurmuştur. Suçun kanuni tanımındaki maddi unsurları bilmeyen kişi kasten hareket etmiş sayılmaz (TCK 30/1); bu nedenle çocuğa karşı işlemeye ilişkin yüksek ceza aralığı uygulanmamalıdır.</w:t>
      </w:r>
    </w:p>
    <w:p>
      <w:pPr>
        <w:jc w:val="both"/>
        <w:spacing w:after="120" w:line="276" w:lineRule="auto"/>
      </w:pPr>
      <w:r>
        <w:t xml:space="preserve">10. </w:t>
      </w:r>
      <w:r>
        <w:rPr>
          <w:b/>
          <w:bCs/>
        </w:rPr>
        <w:t xml:space="preserve">Hukuki nitelendirme:</w:t>
      </w:r>
      <w:r>
        <w:t xml:space="preserve"> [SEÇENEK — beraat talebiyle terditli] Söz cinsel bir amaç taşımıyor ama müştekinin onurunu rencide ediyorsa yeri cinsel taciz değil, hakaret (TCK 125/1) olabilir; bu suç şikâyete bağlıdır ve önödeme kapsamındadır (TCK 75/6-a-2). Davranış yalnız huzur bozmaya yönelikse TCK 123 tartışılır; o suç uzlaştırma kapsamındadır (CMK 253/1-a). Engellemeye rağmen sürdürülen temaslar ise ancak ayrı bir ısrarlı takip suçlamasıyla yargılanabilir; iddianamede yoksa hükme esas alınamaz.</w:t>
      </w:r>
    </w:p>
    <w:p>
      <w:pPr>
        <w:jc w:val="both"/>
        <w:spacing w:after="120" w:line="276" w:lineRule="auto"/>
      </w:pPr>
      <w:r>
        <w:t xml:space="preserve">11. </w:t>
      </w:r>
      <w:r>
        <w:rPr>
          <w:b/>
          <w:bCs/>
        </w:rPr>
        <w:t xml:space="preserve">Şikâyet şartı:</w:t>
      </w:r>
      <w:r>
        <w:t xml:space="preserve"> Yetişkin mağdura karşı cinsel tacizin temel hâli mağdurun şikâyetine bağlıdır (TCK 105/1); eylem 105/2'deki nitelikli hâllerden birine girmemektedir. [SEÇENEK — yalnız 105/1 temel hâl suçlanıyorsa] Müşteki fiili ve failin kim olduğunu [gg.aa.yyyy] tarihinde öğrenmiş, şikâyeti ise altı aylık süre geçtikten sonra, [gg.aa.yyyy] tarihinde yapmıştır (TCK 73/1). [ya da: Müşteki [gg.aa.yyyy] tarihli duruşmada şikâyetinden vazgeçmiş, sanık bunu kabul etmiştir (TCK 73/4).] Davanın düşmesine karar verilmelidir (CMK 223/8). Cinsel dokunulmazlığa karşı suçlarda uzlaştırma yoluna gidilemez (CMK 253/3); temel hâlde vazgeçme ise sonuç doğurur.</w:t>
      </w:r>
    </w:p>
    <w:p>
      <w:pPr>
        <w:jc w:val="both"/>
        <w:spacing w:after="120" w:line="276" w:lineRule="auto"/>
      </w:pPr>
      <w:r>
        <w:t xml:space="preserve">12. </w:t>
      </w:r>
      <w:r>
        <w:rPr>
          <w:b/>
          <w:bCs/>
        </w:rPr>
        <w:t xml:space="preserve">Usule ilişkin itiraz ve delil talepleri:</w:t>
      </w:r>
      <w:r>
        <w:t xml:space="preserve"> Sanığın kolluk ifadesi müdafi olmadan alınmış ve duruşmada doğrulanmamıştır (CMK 148/4). Olayın geçtiği söylenen yerdeki [kamera kayıtları] istenmemiş, aynı ortamdaki [iş arkadaşları / öğrenciler] tanık olarak dinlenmemiş, [işyerinde yürütülen disiplin soruşturması dosyası] getirtilmemiştir. Mesajların gönderildiği hesabın sanığa ait olup olmadığı abonelik ve IP kayıtlarıyla tespit edilmemiştir. Bu delillerin toplanmasını talep ediyoruz (CMK 207/1).</w:t>
      </w:r>
    </w:p>
    <w:p>
      <w:pPr>
        <w:jc w:val="both"/>
        <w:spacing w:after="120" w:line="276" w:lineRule="auto"/>
      </w:pPr>
      <w:r>
        <w:t xml:space="preserve">13. </w:t>
      </w:r>
      <w:r>
        <w:rPr>
          <w:b/>
          <w:bCs/>
        </w:rPr>
        <w:t xml:space="preserve">Ceza tayini ve hükmün sonuçları:</w:t>
      </w:r>
      <w:r>
        <w:t xml:space="preserve"> Mahkûmiyet hâlinde davranışın tek seferlik olması ve sonucun hafifliği temel cezanın alt sınırdan belirlenmesini gerektirir (TCK 61/1). Yetişkine karşı hâlde kanun hapis ile adli para cezasını seçimlik öngörmüştür; hapis tercih edilirse sonradan paraya çevrilemeyeceğinden (TCK 50/2) doğrudan adli para cezasına hükmedilmelidir. Sanığın geçmişi ve duruşmadaki tutumu takdiri indirim nedenidir (TCK 62). Sanık daha önce kasıtlı bir suçtan mahkûm olmamıştır [adli sicil kaydı ekte]; hükmün açıklanmasının geri bırakılması (CMK 231/5), bu mümkün görülmezse erteleme (TCK 51) uygulanmalıdır.</w:t>
      </w:r>
    </w:p>
    <w:p>
      <w:pPr>
        <w:jc w:val="both"/>
        <w:spacing w:after="120" w:line="276" w:lineRule="auto"/>
      </w:pPr>
      <w:r>
        <w:rPr>
          <w:b/>
          <w:bCs/>
        </w:rPr>
        <w:t xml:space="preserve">HUKUKİ NEDENLER:</w:t>
      </w:r>
      <w:r>
        <w:t xml:space="preserve"> TCK m.21, 30, 50, 51, 61, 62, 73, 75, 102, 105, 123, 125; CMK m.148, 206, 207, 216, 217, 223, 226, 231, 251, 253 ve ilgili mevzuat.</w:t>
      </w:r>
    </w:p>
    <w:p>
      <w:pPr>
        <w:jc w:val="both"/>
        <w:spacing w:after="120" w:line="276" w:lineRule="auto"/>
      </w:pPr>
      <w:r>
        <w:rPr>
          <w:b/>
          <w:bCs/>
        </w:rPr>
        <w:t xml:space="preserve">DELİLLER:</w:t>
      </w:r>
      <w:r>
        <w:t xml:space="preserve"> Dosya kapsamı, [gg.aa.2026] tarihli duruşma tutanakları, [müştekinin kolluk ve duruşma beyanları], [yazışmanın tamamı], [telefon inceleme raporu], [kamera kayıtları], [tanık beyanları], [işyeri disiplin soruşturması dosyası], [hesap abonelik ve IP kayıtları],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[tanıkların dinlenmesi / kamera kayıtlarının ve disiplin dosyasının getirtilmesi / telefonların bilirkişiye incelettirilmesi / IP kayıtlarının istenmesi] taleplerimizin kabulüne,</w:t>
      </w:r>
    </w:p>
    <w:p>
      <w:pPr>
        <w:jc w:val="both"/>
        <w:spacing w:after="120" w:line="276" w:lineRule="auto"/>
      </w:pPr>
      <w:r>
        <w:t xml:space="preserve">2. </w:t>
      </w:r>
      <w:r>
        <w:t xml:space="preserve">Sanığa yüklenen davranış cinsel amaç taşımadığından ve kanunda tanımlanan suçu oluşturmadığından (CMK 223/2-a), olmazsa suçun sanık tarafından işlendiği sabit olmadığından (CMK 223/2-e) sanığın BERAATİNE,</w:t>
      </w:r>
    </w:p>
    <w:p>
      <w:pPr>
        <w:jc w:val="both"/>
        <w:spacing w:after="120" w:line="276" w:lineRule="auto"/>
      </w:pPr>
      <w:r>
        <w:t xml:space="preserve">3. </w:t>
      </w:r>
      <w:r>
        <w:t xml:space="preserve">[Eylem TCK 105/1 temel hâlde kalıyorsa ve şikâyet süresi geçmişse veya müşteki vazgeçmişse: davanın DÜŞMESİNE (CMK 223/8)],</w:t>
      </w:r>
    </w:p>
    <w:p>
      <w:pPr>
        <w:jc w:val="both"/>
        <w:spacing w:after="120" w:line="276" w:lineRule="auto"/>
      </w:pPr>
      <w:r>
        <w:t xml:space="preserve">4. </w:t>
      </w:r>
      <w:r>
        <w:t xml:space="preserve">Mahkemeniz aksi kanaatte ise terditli olarak; TCK 105/2'deki nitelikli hâlin ve çocuğa karşı işlemeye ilişkin ceza aralığının uygulanmamasına, eylemin TCK 102 kapsamında değerlendirilmemesine, nitelendirme değişecekse ek savunma süresi verilmesine,</w:t>
      </w:r>
    </w:p>
    <w:p>
      <w:pPr>
        <w:jc w:val="both"/>
        <w:spacing w:after="120" w:line="276" w:lineRule="auto"/>
      </w:pPr>
      <w:r>
        <w:t xml:space="preserve">5. </w:t>
      </w:r>
      <w:r>
        <w:t xml:space="preserve">Mahkûmiyet hâlinde seçimlik adli para cezasının tercih edilmesine, cezanın alt sınırdan belirlenmesine ve TCK 62 indiriminin uygulanmasına,</w:t>
      </w:r>
    </w:p>
    <w:p>
      <w:pPr>
        <w:jc w:val="both"/>
        <w:spacing w:after="120" w:line="276" w:lineRule="auto"/>
      </w:pPr>
      <w:r>
        <w:t xml:space="preserve">6. </w:t>
      </w:r>
      <w:r>
        <w:t xml:space="preserve">Hükmolunacak cezanın açıklanmasının geri bırakılmasına; bu mümkün görülmezse ertelenmesine,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[Yazışmanın tamamını gösteren döküm]</w:t>
      </w:r>
    </w:p>
    <w:p>
      <w:pPr>
        <w:jc w:val="both"/>
        <w:spacing w:after="120" w:line="276" w:lineRule="auto"/>
      </w:pPr>
      <w:r>
        <w:t xml:space="preserve">2. </w:t>
      </w:r>
      <w:r>
        <w:t xml:space="preserve">[Tanık listesi ve adresleri]</w:t>
      </w:r>
    </w:p>
    <w:p>
      <w:pPr>
        <w:jc w:val="both"/>
        <w:spacing w:after="120" w:line="276" w:lineRule="auto"/>
      </w:pPr>
      <w:r>
        <w:t xml:space="preserve">3. </w:t>
      </w:r>
      <w:r>
        <w:t xml:space="preserve">[İşyeri görev tanımı veya organizasyon şeması]</w:t>
      </w:r>
    </w:p>
    <w:p>
      <w:pPr>
        <w:jc w:val="both"/>
        <w:spacing w:after="120" w:line="276" w:lineRule="auto"/>
      </w:pPr>
      <w:r>
        <w:t xml:space="preserve">4.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