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CEZA MAHKEMESİ HÂKİMLİĞİNE</w:t>
      </w:r>
    </w:p>
    <w:p>
      <w:pPr>
        <w:jc w:val="both"/>
        <w:spacing w:after="120" w:line="276" w:lineRule="auto"/>
      </w:pPr>
      <w:r>
        <w:rPr>
          <w:b/>
          <w:bCs/>
        </w:rPr>
        <w:t xml:space="preserve">DOSYA (ESAS) NO:</w:t>
      </w:r>
      <w:r>
        <w:t xml:space="preserve"> [Yıl/Sıra]</w:t>
      </w:r>
    </w:p>
    <w:p>
      <w:pPr>
        <w:jc w:val="both"/>
        <w:spacing w:after="120" w:line="276" w:lineRule="auto"/>
      </w:pPr>
      <w:r>
        <w:rPr>
          <w:b/>
          <w:bCs/>
        </w:rPr>
        <w:t xml:space="preserve">SANIK:</w:t>
      </w:r>
      <w:r>
        <w:t xml:space="preserve"> [Ad Soyad], T.C. Kimlik No: [...........], Adres: [...........]</w:t>
      </w:r>
    </w:p>
    <w:p>
      <w:pPr>
        <w:jc w:val="both"/>
        <w:spacing w:after="120" w:line="276" w:lineRule="auto"/>
      </w:pPr>
      <w:r>
        <w:t xml:space="preserve">[varsa: MÜDAFİİ: Av. Ad Soyad]</w:t>
      </w:r>
    </w:p>
    <w:p>
      <w:pPr>
        <w:jc w:val="both"/>
        <w:spacing w:after="120" w:line="276" w:lineRule="auto"/>
      </w:pPr>
      <w:r>
        <w:rPr>
          <w:b/>
          <w:bCs/>
        </w:rPr>
        <w:t xml:space="preserve">MÜŞTEKİ / KATILAN:</w:t>
      </w:r>
      <w:r>
        <w:t xml:space="preserve"> [Ad Soyad]</w:t>
      </w:r>
    </w:p>
    <w:p>
      <w:pPr>
        <w:jc w:val="both"/>
        <w:spacing w:after="120" w:line="276" w:lineRule="auto"/>
      </w:pPr>
      <w:r>
        <w:rPr>
          <w:b/>
          <w:bCs/>
        </w:rPr>
        <w:t xml:space="preserve">SUÇ:</w:t>
      </w:r>
      <w:r>
        <w:t xml:space="preserve"> Israrlı takip (TCK m.123/A-[1 / 2-a / 2-b / 2-c])</w:t>
      </w:r>
    </w:p>
    <w:p>
      <w:pPr>
        <w:jc w:val="both"/>
        <w:spacing w:after="120" w:line="276" w:lineRule="auto"/>
      </w:pPr>
      <w:r>
        <w:rPr>
          <w:b/>
          <w:bCs/>
        </w:rPr>
        <w:t xml:space="preserve">MÜTALAA:</w:t>
      </w:r>
      <w:r>
        <w:t xml:space="preserve"> Cumhuriyet savcısının [gg.aa.2026] tarihli [duruşmada sözlü / yazılı] esas hakkındaki mütalaası</w:t>
      </w:r>
    </w:p>
    <w:p>
      <w:pPr>
        <w:jc w:val="both"/>
        <w:spacing w:after="120" w:line="276" w:lineRule="auto"/>
      </w:pPr>
      <w:r>
        <w:rPr>
          <w:b/>
          <w:bCs/>
        </w:rPr>
        <w:t xml:space="preserve">KONU:</w:t>
      </w:r>
      <w:r>
        <w:t xml:space="preserve"> Israrlı takip suçlamasına ilişkin esas hakkındaki mütalaaya karşı savunmalarımızın, delil taleplerimizin ve terditli taleplerimizin sunulmasıdır.</w:t>
      </w:r>
    </w:p>
    <w:p>
      <w:pPr>
        <w:jc w:val="both"/>
        <w:spacing w:after="120" w:line="276" w:lineRule="auto"/>
      </w:pPr>
      <w:r>
        <w:rPr>
          <w:b/>
          <w:bCs/>
        </w:rPr>
        <w:t xml:space="preserve">AÇIKLAMALAR:</w:t>
      </w:r>
    </w:p>
    <w:p>
      <w:pPr>
        <w:jc w:val="both"/>
        <w:spacing w:after="120" w:line="276" w:lineRule="auto"/>
      </w:pPr>
      <w:r>
        <w:t xml:space="preserve">1. </w:t>
      </w:r>
      <w:r>
        <w:rPr>
          <w:b/>
          <w:bCs/>
        </w:rPr>
        <w:t xml:space="preserve">Mütalaanın dayanağı:</w:t>
      </w:r>
      <w:r>
        <w:t xml:space="preserve"> Cumhuriyet savcısı, sanığın [gg.aa.yyyy] ile [gg.aa.yyyy] arasında müştekiyi [arayarak / mesaj göndererek / evinin ya da iş yerinin önünde bekleyerek / sosyal medya hesabından yazarak] ısrarla takip ettiğini ileri sürmüş ve TCK 123/A-[fıkra ve bent] uyarınca cezalandırılmasını istemiştir. Mütalaa yalnız [müştekinin beyanına / [sayı] adet ekran görüntüsüne / müştekinin kendi hazırladığı arama listesine / tanık [sıfatı] beyanına] dayanmaktadır. Temasların hangi tarihlerde, hangi araçla ve kaç kez kurulduğu mütalaada tek tek gösterilmemiş, dönem bir bütün olarak "ısrarlı" diye nitelendirilmiştir.</w:t>
      </w:r>
    </w:p>
    <w:p>
      <w:pPr>
        <w:jc w:val="both"/>
        <w:spacing w:after="120" w:line="276" w:lineRule="auto"/>
      </w:pPr>
      <w:r>
        <w:t xml:space="preserve">2. </w:t>
      </w:r>
      <w:r>
        <w:rPr>
          <w:b/>
          <w:bCs/>
        </w:rPr>
        <w:t xml:space="preserve">Birinci unsur, ısrar:</w:t>
      </w:r>
      <w:r>
        <w:t xml:space="preserve"> TCK 123/A/1 her iki seçimlik hareket için de "ısrarlı bir şekilde" davranılmasını arar. Israr, karşı tarafın temas istemediğini açıkça bildirmesine rağmen aynı davranışın belirli bir süreklilik içinde tekrarlanmasıdır. Tek seferlik bir karşılaşma, birkaç mesaj ya da karşılık bulan bir yazışma bu eşiğe ulaşmaz. Dosyada müştekinin temas istemediğini sanığa [hiçbir zaman açıkça söylemediği / ancak [gg.aa.yyyy] tarihinde bildirdiği] görülmektedir. Bu tarihten sonra sanığa yüklenebilen temas sayısı [sayı] olup [tek gün içinde / birkaç gün arayla ve aynı konuyla sınırlı] gerçekleşmiştir. Müştekinin bu tarihten önce sanıkla olağan biçimde yazıştığını gösteren mesajlar dosyadadır; o dönemdeki temaslar ısrarın hesabına katılamaz.</w:t>
      </w:r>
    </w:p>
    <w:p>
      <w:pPr>
        <w:jc w:val="both"/>
        <w:spacing w:after="120" w:line="276" w:lineRule="auto"/>
      </w:pPr>
      <w:r>
        <w:t xml:space="preserve">3. </w:t>
      </w:r>
      <w:r>
        <w:rPr>
          <w:b/>
          <w:bCs/>
        </w:rPr>
        <w:t xml:space="preserve">İkinci unsur, takip ya da temas kurmaya çalışma:</w:t>
      </w:r>
      <w:r>
        <w:t xml:space="preserve"> Kanun, fiziken takip etmeyi ya da haberleşme araçlarını, bilişim sistemlerini veya üçüncü kişileri kullanarak temas kurmaya çalışmayı cezalandırır. [SEÇENEK — fiziken takip iddiasında kullanın: Sanık [müştekiyle aynı mahallede oturmakta / aynı iş yerinde çalışmakta / çocuğunu aynı okula götürmekte]dir. Aynı güzergâhta bulunmak ya da rastlantısal karşılaşma, müştekinin peşinden gitmek anlamına gelmez. Sanığın o saatlerde [iş yerinde / başka bir yerde] olduğu [puantaj kaydı / araç takip kaydı / tanık] ile sabittir.] [SEÇENEK — üçüncü kişiler aracılığıyla temas iddiasında: Sanığın ortak tanıdık [kişinin sıfatı] ile konuşması, müştekiye mesaj iletme talebi içermemektedir; bu kişi dinlenmemiştir.]</w:t>
      </w:r>
    </w:p>
    <w:p>
      <w:pPr>
        <w:jc w:val="both"/>
        <w:spacing w:after="120" w:line="276" w:lineRule="auto"/>
      </w:pPr>
      <w:r>
        <w:t xml:space="preserve">4. </w:t>
      </w:r>
      <w:r>
        <w:rPr>
          <w:b/>
          <w:bCs/>
        </w:rPr>
        <w:t xml:space="preserve">Üçüncü unsur, ciddi huzursuzluk veya güvenlik endişesi:</w:t>
      </w:r>
      <w:r>
        <w:t xml:space="preserve"> Suçun tamamlanması için davranışın müştekide ciddi bir huzursuzluk ya da kendisinin veya bir yakınının güvenliğinden endişe yaratması gerekir. Sıradan bir rahatsızlık ya da istenmeyen bir mesajın verdiği can sıkıntısı bu eşiğe ulaşmaz. Müşteki aynı dönemde [sanığa cevap yazmış / sanıkla buluşmuş / sanığın numarasını engellememiş / sanığa yeni bir talepte bulunmuş]tur. Bu davranışlar, güvenliğinden endişe eden bir kişinin tutumuyla bağdaşmaz. Müştekinin huzursuzluğu yalnız şikâyet dilekçesindeki anlatıma dayanmakta, bunu destekleyen bir tanık, sağlık kaydı ya da kolluk başvurusu bulunmamaktadır.</w:t>
      </w:r>
    </w:p>
    <w:p>
      <w:pPr>
        <w:jc w:val="both"/>
        <w:spacing w:after="120" w:line="276" w:lineRule="auto"/>
      </w:pPr>
      <w:r>
        <w:t xml:space="preserve">5. </w:t>
      </w:r>
      <w:r>
        <w:rPr>
          <w:b/>
          <w:bCs/>
        </w:rPr>
        <w:t xml:space="preserve">Manevi unsur, kast:</w:t>
      </w:r>
      <w:r>
        <w:t xml:space="preserve"> Suç kasten işlenir (TCK 21/1). Sanığın, temasların istenmediğini ve müştekiyi tedirgin ettiğini bilerek hareket etmesi gerekir. Taraflar arasındaki ilişki [şikâyetten kısa süre öncesine kadar devam etmiş / iniş çıkışlarla sürmüş]; müşteki ayrılık sonrasında da [sanığa mesaj atmış / ortak eşyaların teslimi için sanıkla görüşmüş]tür. Bu karışık tablo içinde sanığın, temaslarının istenmediğini kesin olarak bildiği kabul edilemez. Şüphe sanık lehine değerlendirilmelidir.</w:t>
      </w:r>
    </w:p>
    <w:p>
      <w:pPr>
        <w:jc w:val="both"/>
        <w:spacing w:after="120" w:line="276" w:lineRule="auto"/>
      </w:pPr>
      <w:r>
        <w:t xml:space="preserve">6. </w:t>
      </w:r>
      <w:r>
        <w:rPr>
          <w:b/>
          <w:bCs/>
        </w:rPr>
        <w:t xml:space="preserve">Meşru amaçla kurulan temas:</w:t>
      </w:r>
      <w:r>
        <w:t xml:space="preserve"> [SEÇENEK — dosyanıza uyuyorsa kullanın] Temasların tamamı [müşterek çocukla mahkeme kararıyla kurulan kişisel ilişkinin yürütülmesi / sanığın müştekiden olan [tutar] TL alacağının istenmesi / taraflar arasındaki ortak işin ya da ortak taşınmazın yönetimi / boşanma davasına ilişkin belgelerin teslimi] amacına yöneliktir. Mesajların içeriği bu konuyla sınırlıdır ve hiçbirinde müştekinin özel hayatına, yeni ilişkisine ya da kişiliğine dair bir ifade yoktur. Bir hakkı kullanmak için zorunlu ve ölçülü düzeyde kurulan iletişim cezalandırılamaz (TCK 26/1). Hakkın kullanıldığı başka bir yol varken bu yolun seçilmemiş olması da tek başına ısrar kastını göstermez.</w:t>
      </w:r>
    </w:p>
    <w:p>
      <w:pPr>
        <w:jc w:val="both"/>
        <w:spacing w:after="120" w:line="276" w:lineRule="auto"/>
      </w:pPr>
      <w:r>
        <w:t xml:space="preserve">7. </w:t>
      </w:r>
      <w:r>
        <w:rPr>
          <w:b/>
          <w:bCs/>
        </w:rPr>
        <w:t xml:space="preserve">Nitelikli hâllere itiraz (TCK 123/A/2):</w:t>
      </w:r>
      <w:r>
        <w:t xml:space="preserve"> [Dosyanızdaki bendi seçin, diğerlerini silin.] </w:t>
      </w:r>
      <w:r>
        <w:rPr>
          <w:i/>
          <w:iCs/>
        </w:rPr>
        <w:t xml:space="preserve">Boşanılan eşe karşı işleme (a):</w:t>
      </w:r>
      <w:r>
        <w:t xml:space="preserve"> Temasların önemli kısmı boşanma kararının kesinleştiği [gg.aa.yyyy] tarihinden öncesine aittir; o döneme ilişkin temaslar için artırım uygulanamaz. </w:t>
      </w:r>
      <w:r>
        <w:rPr>
          <w:i/>
          <w:iCs/>
        </w:rPr>
        <w:t xml:space="preserve">Mağdurun konutunu, işini veya okulunu değiştirmesi (b):</w:t>
      </w:r>
      <w:r>
        <w:t xml:space="preserve"> Müştekinin taşınması [önceden kiraladığı yeni ev / iş değişikliği / tayin] nedeniyledir; sanığın davranışıyla arasında nedensellik bağı kurulmamıştır. </w:t>
      </w:r>
      <w:r>
        <w:rPr>
          <w:i/>
          <w:iCs/>
        </w:rPr>
        <w:t xml:space="preserve">Uzaklaştırma veya yaklaşmama tedbiri bulunan fail (c):</w:t>
      </w:r>
      <w:r>
        <w:t xml:space="preserve"> Tedbir kararı sanığa [tebliğ edilmemiş / tebliğden önce gerçekleşen temaslar esas alınmış]; karar [gg.aa.yyyy] tarihinde sona ermiş ya da yalnız [konuta yaklaşmama] tedbirini içermektedir. Nitelikli hâlin her şartı ayrıca ispat edilmelidir; iddianamede yer almayan bir bent mütalaada ilk kez ileri sürülmüşse ek savunma hakkı tanınmadan uygulanamaz (CMK 226/2).</w:t>
      </w:r>
    </w:p>
    <w:p>
      <w:pPr>
        <w:jc w:val="both"/>
        <w:spacing w:after="120" w:line="276" w:lineRule="auto"/>
      </w:pPr>
      <w:r>
        <w:t xml:space="preserve">8. </w:t>
      </w:r>
      <w:r>
        <w:rPr>
          <w:b/>
          <w:bCs/>
        </w:rPr>
        <w:t xml:space="preserve">Koruma kararı ve zorlama hapsi:</w:t>
      </w:r>
      <w:r>
        <w:t xml:space="preserve"> [SEÇENEK — 6284 sayılı Kanun kapsamında tedbir varsa] Müşteki lehine verilen koruma kararı, bir tedbir niteliğindedir ve şiddetin ya da ısrarlı takibin varlığını ispat etmez. Bu tedbir, müştekinin beyanı üzerine ve delil aranmadan verilmiştir. [Aynı temaslar nedeniyle sanık hakkında [gg.aa.yyyy] tarihinde zorlama hapsine karar verilmişse: Bu yaptırım ceza davasındaki ispat yükünü ortadan kaldırmaz; ama aynı olgular için uygulanmış olması, temel cezanın belirlenmesinde TCK 61 kapsamında gözetilmelidir.]</w:t>
      </w:r>
    </w:p>
    <w:p>
      <w:pPr>
        <w:jc w:val="both"/>
        <w:spacing w:after="120" w:line="276" w:lineRule="auto"/>
      </w:pPr>
      <w:r>
        <w:t xml:space="preserve">9. </w:t>
      </w:r>
      <w:r>
        <w:rPr>
          <w:b/>
          <w:bCs/>
        </w:rPr>
        <w:t xml:space="preserve">Hukuki nitelendirme:</w:t>
      </w:r>
      <w:r>
        <w:t xml:space="preserve"> [SEÇENEK — beraat talebiyle birlikte terditli kullanın] Temaslar müştekide güvenlik endişesi yaratacak nitelik ve yoğunlukta değilse eylem, en fazla huzur ve sükûnu bozma (TCK 123) kapsamında tartışılabilir. Bu suç şikâyete bağlıdır, uzlaştırma kapsamındadır (CMK 253/1-a) ve CMK 253/3'teki yasak yalnız 123/A için öngörülmüştür. Nitelendirme değişirse sanığa ek savunma hakkı tanınmalı (CMK 226/1) ve dosya uzlaştırma bürosuna gönderilmelidir (CMK 254/1).</w:t>
      </w:r>
    </w:p>
    <w:p>
      <w:pPr>
        <w:jc w:val="both"/>
        <w:spacing w:after="120" w:line="276" w:lineRule="auto"/>
      </w:pPr>
      <w:r>
        <w:t xml:space="preserve">10. </w:t>
      </w:r>
      <w:r>
        <w:rPr>
          <w:b/>
          <w:bCs/>
        </w:rPr>
        <w:t xml:space="preserve">Şikâyet şartı:</w:t>
      </w:r>
      <w:r>
        <w:t xml:space="preserve"> Israrlı takip, temel ve nitelikli hâlleriyle şikâyete bağlıdır (TCK 123/A/3). [SEÇENEK — şikâyet süresi veya vazgeçme varsa] Müştekinin fiili ve faili öğrendiği [gg.aa.yyyy] tarihinden itibaren altı ay geçtikten sonra şikâyette bulunduğu görülmektedir (TCK 73/1); ısrarlı takipte sürenin başlangıcı tartışmalı olsa da, en azından bu tarihten önceki temaslar bakımından şikâyetin süresinde yapılmadığı kabul edilmelidir. [ya da: Müşteki [gg.aa.yyyy] tarihli duruşmada şikâyetinden vazgeçmiş, sanık vazgeçmeyi kabul etmiştir; davanın düşmesi gerekir (TCK 73/4, CMK 223/8).]</w:t>
      </w:r>
    </w:p>
    <w:p>
      <w:pPr>
        <w:jc w:val="both"/>
        <w:spacing w:after="120" w:line="276" w:lineRule="auto"/>
      </w:pPr>
      <w:r>
        <w:t xml:space="preserve">11. </w:t>
      </w:r>
      <w:r>
        <w:rPr>
          <w:b/>
          <w:bCs/>
        </w:rPr>
        <w:t xml:space="preserve">Arama ve mesaj kayıtlarının bütünlüğü:</w:t>
      </w:r>
      <w:r>
        <w:t xml:space="preserve"> Dosyadaki arama listesi müştekinin kendi telefonundan alınmış bir ekran görüntüsüdür; gizli numaradan ya da kayıtlı olmayan hatlardan gelen aramalar sanığa ait kabul edilmiştir. Bu hatların kime ait olduğu tespit edilmemiştir. Müştekinin ve sanığın hatlarına ait iletişim tespit kayıtlarının (HTS) ilgili dönem için getirtilmesini talep ediyoruz (CMK 135/6). Mesajların yalnız sanığa ait kısmı sunulmuş, müştekinin [gg.aa.yyyy] tarihli "[müştekinin mesajı]" içerikli mesajları kesilmiştir. Yazışmanın tamamı ekte sunulmuştur; müştekinin telefonunun bilirkişiye incelettirilmesini ayrıca talep ediyoruz.</w:t>
      </w:r>
    </w:p>
    <w:p>
      <w:pPr>
        <w:jc w:val="both"/>
        <w:spacing w:after="120" w:line="276" w:lineRule="auto"/>
      </w:pPr>
      <w:r>
        <w:t xml:space="preserve">12. </w:t>
      </w:r>
      <w:r>
        <w:rPr>
          <w:b/>
          <w:bCs/>
        </w:rPr>
        <w:t xml:space="preserve">Usule ilişkin itiraz ve delil talepleri:</w:t>
      </w:r>
      <w:r>
        <w:t xml:space="preserve"> Sanığın kolluk ifadesi müdafi olmadan alınmış ve duruşmada doğrulanmamıştır; hükme esas alınamaz (CMK 148/4). Müştekinin anlattığı [gg.aa.yyyy] tarihli karşılaşmaya ilişkin [apartman / iş yeri / sokak] kamera kayıtları istenmemiş, olayı gören [tanık] dinlenmemiştir. Bu delillerin toplanmasını talep ediyoruz; talep geç bildirildiği gerekçesiyle reddedilemez (CMK 207/1).</w:t>
      </w:r>
    </w:p>
    <w:p>
      <w:pPr>
        <w:jc w:val="both"/>
        <w:spacing w:after="120" w:line="276" w:lineRule="auto"/>
      </w:pPr>
      <w:r>
        <w:t xml:space="preserve">13. </w:t>
      </w:r>
      <w:r>
        <w:rPr>
          <w:b/>
          <w:bCs/>
        </w:rPr>
        <w:t xml:space="preserve">Ceza tayini ve hükmün sonuçları:</w:t>
      </w:r>
      <w:r>
        <w:t xml:space="preserve"> Mahkûmiyet hâlinde temasların sayısı, içeriğinin tehdit veya hakaret barındırmaması ve sürenin kısalığı, TCK 61/1 uyarınca temel cezanın alt sınırdan belirlenmesini gerektirir. Israr suçun kurucu unsuru olduğundan, aynı temaslar için ayrıca zincirleme suç artırımı (TCK 43/1) yapılması aynı olgunun iki kez değerlendirilmesi olur. Sanığın geçmişi, duruşmadaki tutumu ve şikâyetten sonra müştekiyle hiç temas kurmamış olması takdiri indirim nedenidir (TCK 62). Sanık daha önce kasıtlı bir suçtan mahkûm olmamıştır [adli sicil kaydı ekte]. Hükmolunacak ceza iki yıl veya daha az olacağından hükmün açıklanmasının geri bırakılması (CMK 231/5), bu mümkün görülmezse erteleme (TCK 51) ya da bir yıl veya daha az hapis hâlinde adli para cezasına çevirme (TCK 50/1-a) uygulanmalıdır.</w:t>
      </w:r>
    </w:p>
    <w:p>
      <w:pPr>
        <w:jc w:val="both"/>
        <w:spacing w:after="120" w:line="276" w:lineRule="auto"/>
      </w:pPr>
      <w:r>
        <w:rPr>
          <w:b/>
          <w:bCs/>
        </w:rPr>
        <w:t xml:space="preserve">HUKUKİ NEDENLER:</w:t>
      </w:r>
      <w:r>
        <w:t xml:space="preserve"> TCK m.21, 26, 43, 50, 51, 61, 62, 73, 123, 123/A; CMK m.135, 148, 206, 207, 216, 217, 223, 226, 231, 251, 253, 254; 6284 sayılı Kanun ve ilgili mevzuat.</w:t>
      </w:r>
    </w:p>
    <w:p>
      <w:pPr>
        <w:jc w:val="both"/>
        <w:spacing w:after="120" w:line="276" w:lineRule="auto"/>
      </w:pPr>
      <w:r>
        <w:rPr>
          <w:b/>
          <w:bCs/>
        </w:rPr>
        <w:t xml:space="preserve">DELİLLER:</w:t>
      </w:r>
      <w:r>
        <w:t xml:space="preserve"> Dosya kapsamı, [gg.aa.2026] tarihli duruşma tutanakları, [yazışmanın tamamı ve dökümü], [HTS kayıtları], [hat abonelik kayıtları], [kamera kayıtları], [tanık beyanları], [koruma kararı ve tebliğ belgesi], [kişisel ilişki kararı veya alacak belgesi], [adli sicil kaydı], [varsa emsal karar künyesi].</w:t>
      </w:r>
    </w:p>
    <w:p>
      <w:pPr>
        <w:jc w:val="both"/>
        <w:spacing w:after="120" w:line="276" w:lineRule="auto"/>
      </w:pPr>
      <w:r>
        <w:rPr>
          <w:b/>
          <w:bCs/>
        </w:rPr>
        <w:t xml:space="preserve">SONUÇ VE İSTEM:</w:t>
      </w:r>
      <w:r>
        <w:t xml:space="preserve"> Yukarıda açıklanan nedenlerle;</w:t>
      </w:r>
    </w:p>
    <w:p>
      <w:pPr>
        <w:jc w:val="both"/>
        <w:spacing w:after="120" w:line="276" w:lineRule="auto"/>
      </w:pPr>
      <w:r>
        <w:t xml:space="preserve">1. </w:t>
      </w:r>
      <w:r>
        <w:t xml:space="preserve">Öncelikle, [HTS kayıtlarının ve abonelik bilgilerinin getirtilmesi / müştekinin telefonunun incelenmesi / kamera kayıtlarının istenmesi / tanığın dinlenmesi] taleplerimizin kabulüne,</w:t>
      </w:r>
    </w:p>
    <w:p>
      <w:pPr>
        <w:jc w:val="both"/>
        <w:spacing w:after="120" w:line="276" w:lineRule="auto"/>
      </w:pPr>
      <w:r>
        <w:t xml:space="preserve">2. </w:t>
      </w:r>
      <w:r>
        <w:t xml:space="preserve">Sanığın eylemi ısrar, takip ve ciddi huzursuzluk unsurlarını taşımadığından suç olarak tanımlanmadığı için (CMK 223/2-a), temaslar meşru bir hakkın kullanılması niteliğinde ise hukuka uygunluk nedeniyle (CMK 223/2-d), olmazsa suçun işlendiği sabit olmadığından (CMK 223/2-e) sanığın BERAATİNE,</w:t>
      </w:r>
    </w:p>
    <w:p>
      <w:pPr>
        <w:jc w:val="both"/>
        <w:spacing w:after="120" w:line="276" w:lineRule="auto"/>
      </w:pPr>
      <w:r>
        <w:t xml:space="preserve">3. </w:t>
      </w:r>
      <w:r>
        <w:t xml:space="preserve">[Şikâyet süresi geçmişse ya da müşteki vazgeçmişse: davanın DÜŞMESİNE (CMK 223/8)],</w:t>
      </w:r>
    </w:p>
    <w:p>
      <w:pPr>
        <w:jc w:val="both"/>
        <w:spacing w:after="120" w:line="276" w:lineRule="auto"/>
      </w:pPr>
      <w:r>
        <w:t xml:space="preserve">4. </w:t>
      </w:r>
      <w:r>
        <w:t xml:space="preserve">Mahkemeniz aksi kanaatte ise terditli olarak; nitelikli hâlin uygulanmamasına, eylemin TCK 123 kapsamında değerlendirilmesi hâlinde ek savunma hakkı tanınarak dosyanın uzlaştırma bürosuna gönderilmesine,</w:t>
      </w:r>
    </w:p>
    <w:p>
      <w:pPr>
        <w:jc w:val="both"/>
        <w:spacing w:after="120" w:line="276" w:lineRule="auto"/>
      </w:pPr>
      <w:r>
        <w:t xml:space="preserve">5. </w:t>
      </w:r>
      <w:r>
        <w:t xml:space="preserve">Mahkûmiyet hâlinde temel cezanın alt sınırdan belirlenmesine, TCK 43 artırımı yapılmamasına ve TCK 62 takdiri indiriminin uygulanmasına,</w:t>
      </w:r>
    </w:p>
    <w:p>
      <w:pPr>
        <w:jc w:val="both"/>
        <w:spacing w:after="120" w:line="276" w:lineRule="auto"/>
      </w:pPr>
      <w:r>
        <w:t xml:space="preserve">6. </w:t>
      </w:r>
      <w:r>
        <w:t xml:space="preserve">Hükmolunacak cezanın açıklanmasının geri bırakılmasına; bu mümkün görülmezse cezanın ertelenmesine ya da adli para cezasına çevrilmesine,</w:t>
      </w:r>
    </w:p>
    <w:p>
      <w:pPr>
        <w:jc w:val="both"/>
        <w:spacing w:after="120" w:line="276" w:lineRule="auto"/>
      </w:pPr>
      <w:r>
        <w:t xml:space="preserve">7. </w:t>
      </w:r>
      <w:r>
        <w:t xml:space="preserve">[Sanık tutukluysa: tahliyesine, gerekirse adli kontrol tedbirleriyle yetinilmesine]</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Sanık [Ad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[Yazışmanın tamamını gösteren döküm veya çıktı]</w:t>
      </w:r>
    </w:p>
    <w:p>
      <w:pPr>
        <w:jc w:val="both"/>
        <w:spacing w:after="120" w:line="276" w:lineRule="auto"/>
      </w:pPr>
      <w:r>
        <w:t xml:space="preserve">2. </w:t>
      </w:r>
      <w:r>
        <w:t xml:space="preserve">[Kişisel ilişki kararı, alacak belgesi veya ortak işe ait belge]</w:t>
      </w:r>
    </w:p>
    <w:p>
      <w:pPr>
        <w:jc w:val="both"/>
        <w:spacing w:after="120" w:line="276" w:lineRule="auto"/>
      </w:pPr>
      <w:r>
        <w:t xml:space="preserve">3. </w:t>
      </w:r>
      <w:r>
        <w:t xml:space="preserve">[Koruma kararı ve tebliğ evrakı]</w:t>
      </w:r>
    </w:p>
    <w:p>
      <w:pPr>
        <w:jc w:val="both"/>
        <w:spacing w:after="120" w:line="276" w:lineRule="auto"/>
      </w:pPr>
      <w:r>
        <w:t xml:space="preserve">4. </w:t>
      </w:r>
      <w:r>
        <w:t xml:space="preserve">[Tanık listesi ve adresleri]</w:t>
      </w:r>
    </w:p>
    <w:p>
      <w:pPr>
        <w:jc w:val="both"/>
        <w:spacing w:after="120" w:line="276" w:lineRule="auto"/>
      </w:pPr>
      <w:r>
        <w:t xml:space="preserve">5. </w:t>
      </w:r>
      <w:r>
        <w:t xml:space="preserve">[Adli sicil kaydı]</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