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Hakaret (TCK m.125/[1 / 2 / 3-a / 3-b / 4])</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Hakaret suçlamasına ilişkin esas hakkındaki mütalaaya karşı savunmalarımızın, önödeme ve delil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içeriği:</w:t>
      </w:r>
      <w:r>
        <w:t xml:space="preserve"> Cumhuriyet savcısı, sanığın [gg.aa.yyyy] tarihinde [yüz yüze / telefonla / mesajla / sosyal medya hesabından] müşteki hakkında "[sözün tutanaktaki veya ekran görüntüsündeki birebir metni]" ifadesini kullandığı gerekçesiyle TCK 125/[fıkra] uyarınca cezalandırılmasını istemiştir. [Aleniyet artırımı veya kamu görevlisine karşı işlenme iddianamede yokken mütalaada ilk kez ileri sürülmüşse: Bu artırım nedeni iddianamede gösterilmemiştir; sanığa haber verilip ek savunma imkânı tanınmadan uygulanamaz.]</w:t>
      </w:r>
    </w:p>
    <w:p>
      <w:pPr>
        <w:jc w:val="both"/>
        <w:spacing w:after="120" w:line="276" w:lineRule="auto"/>
      </w:pPr>
      <w:r>
        <w:t xml:space="preserve">2. </w:t>
      </w:r>
      <w:r>
        <w:rPr>
          <w:b/>
          <w:bCs/>
        </w:rPr>
        <w:t xml:space="preserve">Önödeme usulü uygulanmamıştır:</w:t>
      </w:r>
      <w:r>
        <w:t xml:space="preserve"> Hakaret, kamu görevlisine görevinden dolayı işlenen hâli dışında önödeme kapsamındadır (TCK 75/6-a-2). [Soruşturmada sanığa önödeme teklifi tebliğ edilmeden dava açılmıştır / iddianamede TCK 125/3-a gösterildiği için önödeme yapılmamış, ancak aşağıda açıklandığı üzere eylem görevden dolayı değildir.] Önödeme işlemi yapılmadan dava açılması ya da fiilin niteliğinin değişerek önödeme kapsamına girmesi hâlinde, mahkemece önödeme bildirimi yapılır ve belirlenen miktarın yargılama giderleriyle ödenmesi üzerine kamu davası düşer (TCK 75/2, 75/3). [Sanık hakkında son beş yıl içinde önödemeye konu olmuş bir hakaret dosyası yoktur.] Hüküm kurulmadan önce önödeme bildirimi yapılmasını talep ediyoruz.</w:t>
      </w:r>
    </w:p>
    <w:p>
      <w:pPr>
        <w:jc w:val="both"/>
        <w:spacing w:after="120" w:line="276" w:lineRule="auto"/>
      </w:pPr>
      <w:r>
        <w:t xml:space="preserve">3. </w:t>
      </w:r>
      <w:r>
        <w:rPr>
          <w:b/>
          <w:bCs/>
        </w:rPr>
        <w:t xml:space="preserve">Şikâyet şartı ve süresi:</w:t>
      </w:r>
      <w:r>
        <w:t xml:space="preserve"> Hakaret, kamu görevlisine görevinden dolayı işlenen hâli dışında şikâyete bağlıdır (TCK 131/1). [SEÇENEK — dosyanıza uyuyorsa kullanın] Müşteki sözü [gg.aa.yyyy] tarihinde öğrenmiş, şikâyetini ise [gg.aa.yyyy] tarihinde, altı aylık süre geçtikten sonra yapmıştır (TCK 73/1). [Ya da: Şikâyet, fiilin gerçekleştiği tarihten itibaren iki yıl geçtikten sonra yapılmıştır (TCK 73/2).] [Ya da: Müşteki [gg.aa.yyyy] tarihli duruşmada şikâyetinden vazgeçmiştir (TCK 73/4).] Bu durumda davanın düşmesine karar verilmelidir (CMK 223/8).</w:t>
      </w:r>
    </w:p>
    <w:p>
      <w:pPr>
        <w:jc w:val="both"/>
        <w:spacing w:after="120" w:line="276" w:lineRule="auto"/>
      </w:pPr>
      <w:r>
        <w:t xml:space="preserve">4. </w:t>
      </w:r>
      <w:r>
        <w:rPr>
          <w:b/>
          <w:bCs/>
        </w:rPr>
        <w:t xml:space="preserve">Birinci unsur, sözün hakaret niteliği:</w:t>
      </w:r>
      <w:r>
        <w:t xml:space="preserve"> TCK 125/1, kişinin onur, şeref ve saygınlığını rencide edebilecek nitelikte somut bir fiil veya olgu isnadını ya da sövmeyi arar. "[söz]" ifadesi ne somut bir isnat ne de sövme içermektedir; [kaba ve nezaket dışı bir söz / bir davranışa yönelik sitem / günlük dilde öfke ifadesi] niteliğindedir. Yargıtay'ın yerleşik uygulamasında da kaba, sert veya nezaketsiz sözler, kişinin onur ve saygınlığını hedef almadıkça hakaret sayılmamaktadır. Sözün söylendiği ortam, taraflar arasındaki ilişki ve konuşmanın tamamı birlikte değerlendirildiğinde müştekinin kişiliğine yönelik aşağılayıcı bir anlam taşımadığı görülecektir.</w:t>
      </w:r>
    </w:p>
    <w:p>
      <w:pPr>
        <w:jc w:val="both"/>
        <w:spacing w:after="120" w:line="276" w:lineRule="auto"/>
      </w:pPr>
      <w:r>
        <w:t xml:space="preserve">5. </w:t>
      </w:r>
      <w:r>
        <w:rPr>
          <w:b/>
          <w:bCs/>
        </w:rPr>
        <w:t xml:space="preserve">Eleştiri hakkı ve ifade özgürlüğü:</w:t>
      </w:r>
      <w:r>
        <w:t xml:space="preserve"> [SEÇENEK — söz bir hizmet, işletme, yönetici, siyasetçi veya kamu görevlisinin icraatı hakkındaysa] Sanığın sözü, müştekinin [verdiği hizmet / aldığı karar / kamuya açık bir tutumu] hakkındadır ve dayandığı olgular [belge, yazışma, haber] ile sabittir. Kamusal bir konuda, olgulara dayanan ve konuyla bağlantılı sert bir değerlendirme Anayasa'nın 26. ve Avrupa İnsan Hakları Sözleşmesi'nin 10. maddesi kapsamında korunan eleştiridir; eleştiri sınırı kamusal kişiler için daha geniştir. Sözde kullanılan [ifade], amacı aşan ve yalnız aşağılamaya yönelen bir nitelik taşımamaktadır.</w:t>
      </w:r>
    </w:p>
    <w:p>
      <w:pPr>
        <w:jc w:val="both"/>
        <w:spacing w:after="120" w:line="276" w:lineRule="auto"/>
      </w:pPr>
      <w:r>
        <w:t xml:space="preserve">6. </w:t>
      </w:r>
      <w:r>
        <w:rPr>
          <w:b/>
          <w:bCs/>
        </w:rPr>
        <w:t xml:space="preserve">İkinci unsur, mağdurun belirlenebilirliği (TCK 126):</w:t>
      </w:r>
      <w:r>
        <w:t xml:space="preserve"> [SEÇENEK — isim verilmeyen paylaşım veya söz] Paylaşımda ya da sözde müştekinin adı geçmemektedir; ifade "[genel ifade]" biçiminde, belirli olmayan bir gruba yöneliktir. Kanun, isim verilmese bile sözün kime yöneldiğinde duraksanmayacak bir durumun bulunmasını arar. Paylaşımın [tarihi / içeriği / etiketleri] müştekiyi işaret etmemekte, müşteki dışındaki [kişi veya grup] için de aynı ölçüde anlaşılabilmektedir.</w:t>
      </w:r>
    </w:p>
    <w:p>
      <w:pPr>
        <w:jc w:val="both"/>
        <w:spacing w:after="120" w:line="276" w:lineRule="auto"/>
      </w:pPr>
      <w:r>
        <w:t xml:space="preserve">7. </w:t>
      </w:r>
      <w:r>
        <w:rPr>
          <w:b/>
          <w:bCs/>
        </w:rPr>
        <w:t xml:space="preserve">Gıyapta hakaret ve aleniyet:</w:t>
      </w:r>
      <w:r>
        <w:t xml:space="preserve"> [SEÇENEK — dosyanıza uyuyorsa kullanın] Söz müştekinin yokluğunda, yalnız [bir / iki] kişinin bulunduğu ortamda söylenmiştir. Mağdurun gıyabında hakaretin cezalandırılabilmesi için fiilin en az üç kişiyle ihtilat ederek işlenmesi gerekir (TCK 125/1 son cümle); bu şart gerçekleşmemiştir. [Aleniyet artırımı istenmişse: İleti, üyeleri belli ve sınırlı sayıdaki [kapalı mesajlaşma grubunda / doğrudan mesajda] gönderilmiştir; belirsiz sayıda kişinin algılayabileceği bir ortam bulunmadığından TCK 125/4 artırımı uygulanamaz.]</w:t>
      </w:r>
    </w:p>
    <w:p>
      <w:pPr>
        <w:jc w:val="both"/>
        <w:spacing w:after="120" w:line="276" w:lineRule="auto"/>
      </w:pPr>
      <w:r>
        <w:t xml:space="preserve">8. </w:t>
      </w:r>
      <w:r>
        <w:rPr>
          <w:b/>
          <w:bCs/>
        </w:rPr>
        <w:t xml:space="preserve">Sosyal medya hesabının sanığa aidiyeti:</w:t>
      </w:r>
      <w:r>
        <w:t xml:space="preserve"> [SEÇENEK — sosyal medya veya mesajlaşma dosyalarında] Mütalaa, yalnız müştekinin sunduğu ekran görüntüsüne dayanmaktadır. Hesabın sanık tarafından açıldığı ve paylaşım tarihinde sanık tarafından kullanıldığı; paylaşımın yapıldığı IP adresi ve bu adresin sanığa ait aboneliğe eşleştiği tespit edilmemiştir. Platform şirketine yazılan müzekkere [cevapsız kalmıştır / yalnız hesabın varlığını doğrulamıştır]. Hesap [sanığın adını taşısa da başkaları tarafından da kullanılmaktadır / [gg.aa.yyyy] tarihinde ele geçirilmiş ve bu durum bildirilmiştir]. Ekran görüntüsünün değiştirilmediği ve paylaşımın gerçekten yapıldığı da URL ve teknik inceleme ile doğrulanmamıştır. Bu hâliyle eylemin sanık tarafından işlendiği şüpheden uzak biçimde sabit değildir; aksi düşünülüyorsa bilişim bilirkişisi incelemesi yapılmasını talep ediyoruz.</w:t>
      </w:r>
    </w:p>
    <w:p>
      <w:pPr>
        <w:jc w:val="both"/>
        <w:spacing w:after="120" w:line="276" w:lineRule="auto"/>
      </w:pPr>
      <w:r>
        <w:t xml:space="preserve">9. </w:t>
      </w:r>
      <w:r>
        <w:rPr>
          <w:b/>
          <w:bCs/>
        </w:rPr>
        <w:t xml:space="preserve">İddia ve savunma dokunulmazlığı (TCK 128):</w:t>
      </w:r>
      <w:r>
        <w:t xml:space="preserve"> [SEÇENEK — söz bir dilekçe, ifade, şikâyet veya idari başvuru içindeyse] Mütalaaya konu ifade, sanığın [mahkemeye / savcılığa / kuruma] verdiği [gg.aa.yyyy] tarihli [dilekçe / ifade / başvuru] içinde yer almaktadır. İfade, [uyuşmazlığın konusu] ile doğrudan bağlantılıdır ve [ekteki belgelerle ispatlanan] gerçek ve somut vakıalara dayanmaktadır. Yargı mercileri ve idari makamlar önündeki iddia ve savunmalar kapsamındaki bu tür değerlendirmeler için kanun açıkça ceza verilmeyeceğini öngörür.</w:t>
      </w:r>
    </w:p>
    <w:p>
      <w:pPr>
        <w:jc w:val="both"/>
        <w:spacing w:after="120" w:line="276" w:lineRule="auto"/>
      </w:pPr>
      <w:r>
        <w:t xml:space="preserve">10. </w:t>
      </w:r>
      <w:r>
        <w:rPr>
          <w:b/>
          <w:bCs/>
        </w:rPr>
        <w:t xml:space="preserve">İsnadın ispatı (TCK 127):</w:t>
      </w:r>
      <w:r>
        <w:t xml:space="preserve"> [SEÇENEK — somut bir suç isnadı yapılmışsa] Sanığın müştekiye isnat ettiği [fiil] bir suçtur ve [müşteki hakkında bu fiilden verilmiş kesinleşmiş mahkûmiyet kararı vardır / isnadın doğruluğunun anlaşılmasında kamu yararı bulunmaktadır]. Kesinleşmiş mahkûmiyet hâlinde isnat ispatlanmış sayılır; diğer hâllerde ispat istemimizin kabulüyle [deliller] incelenmelidir. İsnat edilen ve suç oluşturan fiilin ispatı hâlinde kişiye ceza verilmez.</w:t>
      </w:r>
    </w:p>
    <w:p>
      <w:pPr>
        <w:jc w:val="both"/>
        <w:spacing w:after="120" w:line="276" w:lineRule="auto"/>
      </w:pPr>
      <w:r>
        <w:t xml:space="preserve">11. </w:t>
      </w:r>
      <w:r>
        <w:rPr>
          <w:b/>
          <w:bCs/>
        </w:rPr>
        <w:t xml:space="preserve">Haksız fiile tepki ve karşılıklı hakaret (TCK 129):</w:t>
      </w:r>
      <w:r>
        <w:t xml:space="preserve"> [SEÇENEK — dosyanıza uyuyorsa kullanın] Söz, müştekinin hemen önce [sanığa hakaret etmesi / borcunu ödememesi / sanığın ailesi hakkında asılsız söylenti yayması] üzerine söylenmiştir [tanık beyanı, mesaj, tutanak sayfası]. Haksız bir fiile tepki olarak işlenen hakarette ceza üçte birine kadar indirilebileceği gibi ceza vermekten de vazgeçilebilir (TCK 129/1). Müştekinin de aynı tartışmada sanığa "[müştekinin sözü]" dediği sabittir; karşılıklı hakarette taraflardan her ikisi veya biri hakkında ceza verilmeyebilir (TCK 129/3). [Söz, sanığa yönelik kasten yaralamaya tepki olarak söylenmişse: Bu durumda kişiye ceza verilmez (TCK 129/2).]</w:t>
      </w:r>
    </w:p>
    <w:p>
      <w:pPr>
        <w:jc w:val="both"/>
        <w:spacing w:after="120" w:line="276" w:lineRule="auto"/>
      </w:pPr>
      <w:r>
        <w:t xml:space="preserve">12. </w:t>
      </w:r>
      <w:r>
        <w:rPr>
          <w:b/>
          <w:bCs/>
        </w:rPr>
        <w:t xml:space="preserve">Kamu görevlisine görevinden dolayı hakaret nitelendirmesine itiraz:</w:t>
      </w:r>
      <w:r>
        <w:t xml:space="preserve"> [SEÇENEK — iddianamede TCK 125/3-a varsa] Müşteki kamu görevlisi olsa da söz, [görev dışında, komşuluk ilişkisi / özel bir alacak uyuşmazlığı] nedeniyle söylenmiştir; görevin yerine getirilmesiyle bağlantısı yoktur. Bu durumda alt sınırı bir yıl olan 125/3-a uygulanamaz; eylem en fazla TCK 125/1 kapsamında kalır, şikâyete bağlıdır ve önödeme kapsamına girer.</w:t>
      </w:r>
    </w:p>
    <w:p>
      <w:pPr>
        <w:jc w:val="both"/>
        <w:spacing w:after="120" w:line="276" w:lineRule="auto"/>
      </w:pPr>
      <w:r>
        <w:t xml:space="preserve">13. </w:t>
      </w:r>
      <w:r>
        <w:rPr>
          <w:b/>
          <w:bCs/>
        </w:rPr>
        <w:t xml:space="preserve">Usule ilişkin itiraz ve delil talepleri:</w:t>
      </w:r>
      <w:r>
        <w:t xml:space="preserve"> Sanığın kolluk ifadesi müdafi hazır olmadan alınmış ve duruşmada doğrulanmamıştır; hükme esas alınamaz (CMK 148/4). Olayı gören [tanık] dinlenmemiş, yazışmanın tamamı dosyaya getirtilmemiştir. Bu delillerin toplanmasını talep ediyoruz; talep geç bildirildiği için reddedilemez (CMK 207/1). [Birden fazla mesaj için ayrı ceza istenmişse: Mesajlar aynı müştekiye, aynı uyuşmazlık içinde ve kısa aralıklarla gönderilmiştir; tek suç işleme kararının parçası olduğundan TCK 43/1 uyarınca tek ceza verilmelidir.]</w:t>
      </w:r>
    </w:p>
    <w:p>
      <w:pPr>
        <w:jc w:val="both"/>
        <w:spacing w:after="120" w:line="276" w:lineRule="auto"/>
      </w:pPr>
      <w:r>
        <w:t xml:space="preserve">14. </w:t>
      </w:r>
      <w:r>
        <w:rPr>
          <w:b/>
          <w:bCs/>
        </w:rPr>
        <w:t xml:space="preserve">Ceza tayini ve hükmün sonuçları:</w:t>
      </w:r>
      <w:r>
        <w:t xml:space="preserve"> TCK 125/1 hapis ile adli para cezasını seçimlik öngörür. Sanığın sabıkasız geçmişi ve sözün hafifliği karşısında doğrudan adli para cezası tercih edilmelidir; hapis seçilirse bu ceza artık paraya çevrilemez (TCK 50/2). Temel ceza alt sınırdan belirlenmeli (TCK 61/1), takdiri indirim uygulanmalıdır (TCK 62). Sanık daha önce kasıtlı bir suçtan mahkûm olmamıştır [adli sicil kaydı ekte]; hükmolunacak ceza iki yıl veya daha az olacağından hükmün açıklanmasının geri bırakılması (CMK 231/5), bu mümkün görülmezse hapis cezasının ertelenmesi (TCK 51) gerekir.</w:t>
      </w:r>
    </w:p>
    <w:p>
      <w:pPr>
        <w:jc w:val="both"/>
        <w:spacing w:after="120" w:line="276" w:lineRule="auto"/>
      </w:pPr>
      <w:r>
        <w:rPr>
          <w:b/>
          <w:bCs/>
        </w:rPr>
        <w:t xml:space="preserve">HUKUKİ NEDENLER:</w:t>
      </w:r>
      <w:r>
        <w:t xml:space="preserve"> Anayasa m.26; AİHS m.10; TCK m.43, 50, 51, 61, 62, 73, 75, 125, 126, 127, 128, 129, 131; CMK m.148, 206, 207, 216, 217, 223, 226, 231, 251, 253 ve ilgili mevzuat.</w:t>
      </w:r>
    </w:p>
    <w:p>
      <w:pPr>
        <w:jc w:val="both"/>
        <w:spacing w:after="120" w:line="276" w:lineRule="auto"/>
      </w:pPr>
      <w:r>
        <w:rPr>
          <w:b/>
          <w:bCs/>
        </w:rPr>
        <w:t xml:space="preserve">DELİLLER:</w:t>
      </w:r>
      <w:r>
        <w:t xml:space="preserve"> Dosya kapsamı, [gg.aa.2026] tarihli duruşma tutanakları, [yazışmanın veya paylaşımın tamamı], [platform müzekkere cevabı], [hesabın ele geçirildiğine ilişkin bildirim], [tanık beyanları], [müştekinin önceki haksız davranışını gösteren belgeler],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sanığa TCK 75/2 ve 75/3 uyarınca önödeme bildirimi yapılmasına ve ödeme hâlinde kamu davasının DÜŞMESİNE; [şikâyet süresi geçmişse veya şikâyetten vazgeçilmişse: davanın DÜŞMESİNE (CMK 223/8)],</w:t>
      </w:r>
    </w:p>
    <w:p>
      <w:pPr>
        <w:jc w:val="both"/>
        <w:spacing w:after="120" w:line="276" w:lineRule="auto"/>
      </w:pPr>
      <w:r>
        <w:t xml:space="preserve">2. </w:t>
      </w:r>
      <w:r>
        <w:t xml:space="preserve">Bu talep kabul görmezse, [tanık / bilişim bilirkişisi / platform kayıtları] taleplerimizin kabulüne, [ek savunma için süre verilmesine],</w:t>
      </w:r>
    </w:p>
    <w:p>
      <w:pPr>
        <w:jc w:val="both"/>
        <w:spacing w:after="120" w:line="276" w:lineRule="auto"/>
      </w:pPr>
      <w:r>
        <w:t xml:space="preserve">3. </w:t>
      </w:r>
      <w:r>
        <w:t xml:space="preserve">Sanığa yüklenen söz hakaret niteliğinde olmadığından (CMK 223/2-a), eleştiri ve iddia-savunma hakkı kapsamında kaldığından (CMK 223/2-d) ya da eylemin sanık tarafından işlendiği sabit olmadığından (CMK 223/2-e) sanığın BERAATİNE,</w:t>
      </w:r>
    </w:p>
    <w:p>
      <w:pPr>
        <w:jc w:val="both"/>
        <w:spacing w:after="120" w:line="276" w:lineRule="auto"/>
      </w:pPr>
      <w:r>
        <w:t xml:space="preserve">4. </w:t>
      </w:r>
      <w:r>
        <w:t xml:space="preserve">Terditli olarak; karşılıklı hakaret nedeniyle ceza verilmesine yer olmadığına (CMK 223/4-c), haksız fiile tepki nedeniyle ceza verilmemesine, olmazsa TCK 129 uyarınca cezanın üçte birine kadar indirilmesine; TCK 125/3-a ve 125/4 artırımlarının uygulanmamasına, adli para cezasının seçilmesine, temel cezanın alt sınırdan belirlenmesine ve TCK 62 indiriminin uygulanmasına,</w:t>
      </w:r>
    </w:p>
    <w:p>
      <w:pPr>
        <w:jc w:val="both"/>
        <w:spacing w:after="120" w:line="276" w:lineRule="auto"/>
      </w:pPr>
      <w:r>
        <w:t xml:space="preserve">5. </w:t>
      </w:r>
      <w:r>
        <w:t xml:space="preserve">Hükmolunacak cezanın açıklanmasının geri bırakılmasına, bu mümkün görülmezse ertelenmesine,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[Yazışmanın veya paylaşımın tamamını gösteren çıktı]</w:t>
      </w:r>
    </w:p>
    <w:p>
      <w:pPr>
        <w:jc w:val="both"/>
        <w:spacing w:after="120" w:line="276" w:lineRule="auto"/>
      </w:pPr>
      <w:r>
        <w:t xml:space="preserve">2. </w:t>
      </w:r>
      <w:r>
        <w:t xml:space="preserve">[Hesabın ele geçirildiğine veya ortak kullanıldığına ilişkin belgeler]</w:t>
      </w:r>
    </w:p>
    <w:p>
      <w:pPr>
        <w:jc w:val="both"/>
        <w:spacing w:after="120" w:line="276" w:lineRule="auto"/>
      </w:pPr>
      <w:r>
        <w:t xml:space="preserve">3. </w:t>
      </w:r>
      <w:r>
        <w:t xml:space="preserve">[Müştekinin önceki sözlerini veya davranışını gösteren belgeler]</w:t>
      </w:r>
    </w:p>
    <w:p>
      <w:pPr>
        <w:jc w:val="both"/>
        <w:spacing w:after="120" w:line="276" w:lineRule="auto"/>
      </w:pPr>
      <w:r>
        <w:t xml:space="preserve">4.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