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 AĞIR CEZA MAHKEMESİ BAŞKANLIĞINA — duruşma davetiyesinde yazan mahkemeyi aynen yazın]</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 / Şirket unvanı]</w:t>
      </w:r>
    </w:p>
    <w:p>
      <w:pPr>
        <w:jc w:val="both"/>
        <w:spacing w:after="120" w:line="276" w:lineRule="auto"/>
      </w:pPr>
      <w:r>
        <w:rPr>
          <w:b/>
          <w:bCs/>
        </w:rPr>
        <w:t xml:space="preserve">SUÇ:</w:t>
      </w:r>
      <w:r>
        <w:t xml:space="preserve"> Hırsızlık [TCK 141/1 / TCK 142/1-... / TCK 142/2-...; mütalaada istenmişse TCK 143]</w:t>
      </w:r>
    </w:p>
    <w:p>
      <w:pPr>
        <w:jc w:val="both"/>
        <w:spacing w:after="120" w:line="276" w:lineRule="auto"/>
      </w:pPr>
      <w:r>
        <w:rPr>
          <w:b/>
          <w:bCs/>
        </w:rPr>
        <w:t xml:space="preserve">MÜTALAA TARİHİ:</w:t>
      </w:r>
      <w:r>
        <w:t xml:space="preserve"> [gg.aa.2026] tarihli celsede Cumhuriyet savcısının açıkladığı esas hakkındaki mütalaa</w:t>
      </w:r>
    </w:p>
    <w:p>
      <w:pPr>
        <w:jc w:val="both"/>
        <w:spacing w:after="120" w:line="276" w:lineRule="auto"/>
      </w:pPr>
      <w:r>
        <w:rPr>
          <w:b/>
          <w:bCs/>
        </w:rPr>
        <w:t xml:space="preserve">KONU:</w:t>
      </w:r>
      <w:r>
        <w:t xml:space="preserve"> Hırsızlık suçlamasına ilişkin mütalaaya karşı yazılı savunmalarımız, eksik delillerin toplanması talebimiz ve hükme ilişkin terditli taleplerimizdir.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kabul ettiği olay:</w:t>
      </w:r>
      <w:r>
        <w:t xml:space="preserve"> Savcılık, [gg.aa.20..] günü saat [..:..] sıralarında [işyeri / konut / park hâlindeki araç / apartman girişi] içinde bulunan, müştekiye ait [eşyanın cinsi, markası] adlı eşyanın sanık tarafından alındığını kabul etmiş; eylemin [TCK 142/2-h / 142/2-d / 142/2-b] kapsamında kaldığını, [gece vakti işlendiğini] ileri sürerek cezalandırma istemiştir. Mütalaa üç dayanağa yaslanmaktadır: [kamera görüntüsü], [tanık ya da müştekinin teşhisi] ve [eşyanın sanıkta / sanığın evinde ele geçirilmesi]. Bu dayanakların hiçbiri, aşağıda açıklandığı üzere, sanığı şüpheden uzak biçimde fail olarak göstermemektedir.</w:t>
      </w:r>
    </w:p>
    <w:p>
      <w:pPr>
        <w:jc w:val="both"/>
        <w:spacing w:after="120" w:line="276" w:lineRule="auto"/>
      </w:pPr>
      <w:r>
        <w:t xml:space="preserve">2. </w:t>
      </w:r>
      <w:r>
        <w:rPr>
          <w:b/>
          <w:bCs/>
        </w:rPr>
        <w:t xml:space="preserve">Taşınır malın başkasına ait olması:</w:t>
      </w:r>
      <w:r>
        <w:t xml:space="preserve"> TCK 141/1'in ilk unsuru, alınan şeyin failden başka birine ait taşınır mal olmasıdır. [Dosyanıza göre: Eşya sanık ile müştekinin birlikte kullandığı ortak evde bulunmaktadır / sanık eşyanın kendisine ait olduğunu düşünmüştür / eşyanın mülkiyeti tartışmalıdır.] Fiilin icrası sırasında suçun maddi unsurunu bilmeyen kişi kasten hareket etmiş sayılmaz (TCK 30/1). Eşyanın kime ait olduğu konusunda hataya düşen sanığın hırsızlık kastı yoktur.</w:t>
      </w:r>
    </w:p>
    <w:p>
      <w:pPr>
        <w:jc w:val="both"/>
        <w:spacing w:after="120" w:line="276" w:lineRule="auto"/>
      </w:pPr>
      <w:r>
        <w:t xml:space="preserve">3. </w:t>
      </w:r>
      <w:r>
        <w:rPr>
          <w:b/>
          <w:bCs/>
        </w:rPr>
        <w:t xml:space="preserve">Zilyedin rızasının bulunmaması:</w:t>
      </w:r>
      <w:r>
        <w:t xml:space="preserve"> Hırsızlık ancak zilyedin rızası dışında alınan mal hakkında oluşur. Müşteki [gg.aa.20..] tarihli ifadesinde sanığın [daha önce de bu eşyayı kullandığını / iş yerine serbestçe girip çıktığını / eşyayı kendisinin verdiğini] beyan etmiştir [tutanak sayfası]. Rızanın sonradan geri alınması ya da taraflar arasındaki küslük, alma anındaki rızayı ortadan kaldırmaz. Mütalaa bu beyanı hiç tartışmamıştır.</w:t>
      </w:r>
    </w:p>
    <w:p>
      <w:pPr>
        <w:jc w:val="both"/>
        <w:spacing w:after="120" w:line="276" w:lineRule="auto"/>
      </w:pPr>
      <w:r>
        <w:t xml:space="preserve">4. </w:t>
      </w:r>
      <w:r>
        <w:rPr>
          <w:b/>
          <w:bCs/>
        </w:rPr>
        <w:t xml:space="preserve">Bulunduğu yerden alma ve tamamlanma:</w:t>
      </w:r>
      <w:r>
        <w:t xml:space="preserve"> Suçun tamamlanması için eşyanın zilyedin hâkimiyet alanından çıkarılıp failin hâkimiyetine geçmesi gerekir. Olayda eşya [işyerinin içinde / müştekinin gözü önünde / kapıdan çıkılmadan] ele geçirilmiştir; sanık eşya üzerinde serbestçe tasarruf edebilecek bir hâkimiyet kuramamıştır. Bu durumda eylem tamamlanmış hırsızlık değil, en fazla teşebbüs aşamasındadır ve TCK 35/2 uyarınca indirim yapılması gerekir.</w:t>
      </w:r>
    </w:p>
    <w:p>
      <w:pPr>
        <w:jc w:val="both"/>
        <w:spacing w:after="120" w:line="276" w:lineRule="auto"/>
      </w:pPr>
      <w:r>
        <w:t xml:space="preserve">5. </w:t>
      </w:r>
      <w:r>
        <w:rPr>
          <w:b/>
          <w:bCs/>
        </w:rPr>
        <w:t xml:space="preserve">Yarar sağlama maksadı:</w:t>
      </w:r>
      <w:r>
        <w:t xml:space="preserve"> Hırsızlık, kendine ya da başkasına yarar sağlama amacı taşıyan özel bir kastla işlenir. Sanık eşyayı [kısa süre kullanıp geri getirmek / müştekiye ulaştırmak / müştekiden olan alacağına karşılık tutmak] amacıyla almıştır; [eşya ... gün sonra yerine bırakılmıştır]. Geri verme amacıyla alma hâlinde ceza TCK 146 uyarınca indirilmeli, alacak tahsili amacı varsa eylem TCK 144/1-b kapsamında değerlendirilmelidir.</w:t>
      </w:r>
    </w:p>
    <w:p>
      <w:pPr>
        <w:jc w:val="both"/>
        <w:spacing w:after="120" w:line="276" w:lineRule="auto"/>
      </w:pPr>
      <w:r>
        <w:t xml:space="preserve">6. </w:t>
      </w:r>
      <w:r>
        <w:rPr>
          <w:b/>
          <w:bCs/>
        </w:rPr>
        <w:t xml:space="preserve">Failin kimliği ve kamera görüntüleri:</w:t>
      </w:r>
      <w:r>
        <w:t xml:space="preserve"> Mütalaanın dayandığı kamera kaydı [gg.aa.20..] tarihli tutanakla izlenmiş, ancak ham kayıt dosyaya getirilmemiş, yalnız [tutanak / birkaç fotoğraf karesi] eklenmiştir. Görüntüdeki kişinin yüzü [karanlık / uzak açı / kapüşon] nedeniyle seçilememekte, teşhis yalnız [mont rengi / boy / yürüyüş] gibi pek çok kişide bulunabilecek özelliklere dayanmaktadır. Kaydın tarih ve saat damgasının gerçek saatle uyumu da araştırılmamıştır. Bu hâliyle kayıt, sanığın fail olduğunu değil, olay yerinde benzer kıyafetli birinin bulunduğunu göstermektedir.</w:t>
      </w:r>
    </w:p>
    <w:p>
      <w:pPr>
        <w:jc w:val="both"/>
        <w:spacing w:after="120" w:line="276" w:lineRule="auto"/>
      </w:pPr>
      <w:r>
        <w:t xml:space="preserve">7. </w:t>
      </w:r>
      <w:r>
        <w:rPr>
          <w:b/>
          <w:bCs/>
        </w:rPr>
        <w:t xml:space="preserve">Teşhisin usule aykırılığı:</w:t>
      </w:r>
      <w:r>
        <w:t xml:space="preserve"> Müştekiye ya da tanığa [kolluk binasında yalnız sanığın fotoğrafı gösterilerek / sanık tek başına gösterilerek] teşhis yaptırılmıştır. Yargıtay'ın yerleşik uygulamasında teşhis, şüpheliyle benzer görünüşteki birden fazla kişi arasında yaptırılmalı ve tutanağa bağlanmalıdır; tek kişi ya da tek fotoğraf gösterilerek yapılan teşhis telkine açıktır ve başka delille desteklenmedikçe mahkûmiyete yetmez [varsa emsal karar künyesi]. Ayrıca teşhis eden kişi olay sırasında faili [kaç saniye / hangi mesafeden / hangi ışıkta] görmüş, ilk ifadesinde faili [farklı yaşta / farklı boyda] tarif etmiştir [tutanak sayfası].</w:t>
      </w:r>
    </w:p>
    <w:p>
      <w:pPr>
        <w:jc w:val="both"/>
        <w:spacing w:after="120" w:line="276" w:lineRule="auto"/>
      </w:pPr>
      <w:r>
        <w:t xml:space="preserve">8. </w:t>
      </w:r>
      <w:r>
        <w:rPr>
          <w:b/>
          <w:bCs/>
        </w:rPr>
        <w:t xml:space="preserve">Destekleyici delil yokluğu:</w:t>
      </w:r>
      <w:r>
        <w:t xml:space="preserve"> Olay yerinde parmak izi ya da DNA incelemesi yapılmış, sonuç sanığı göstermemiştir [olay yeri inceleme raporu]. [Sanığın hattına ait baz istasyonu kayıtları, olay saatinde sanığın başka bir semtte olduğunu göstermektedir.] Hiçbir maddi iz sanığı olay yerine bağlamamaktadır; böyle bir dosyada şüpheden sanık yararlanır.</w:t>
      </w:r>
    </w:p>
    <w:p>
      <w:pPr>
        <w:jc w:val="both"/>
        <w:spacing w:after="120" w:line="276" w:lineRule="auto"/>
      </w:pPr>
      <w:r>
        <w:t xml:space="preserve">9. </w:t>
      </w:r>
      <w:r>
        <w:t xml:space="preserve">[SEÇENEK — dosyanıza uyuyorsa kullanın: eşya sanıkta ele geçtiyse ama sanık almadıysa] Eşyanın sanıkta bulunması, onu sanığın çaldığını kanıtlamaz. Sanık eşyayı [gg.aa.20..] tarihinde [kişi / ikinci el satış sitesi] aracılığıyla [tutar] TL bedelle satın aldığını ilk ifadesinden itibaren tutarlı biçimde anlatmıştır. Eşyanın çalıntı olduğunu bildiği ispat edilemezse beraat gerekir; bildiği kabul edilse bile eylem hırsızlık değil, suç eşyasının satın alınması ya da kabul edilmesi (TCK 165) olarak nitelendirilmelidir.</w:t>
      </w:r>
    </w:p>
    <w:p>
      <w:pPr>
        <w:jc w:val="both"/>
        <w:spacing w:after="120" w:line="276" w:lineRule="auto"/>
      </w:pPr>
      <w:r>
        <w:t xml:space="preserve">10. </w:t>
      </w:r>
      <w:r>
        <w:t xml:space="preserve">[SEÇENEK — dosyanıza uyuyorsa kullanın: eşya kaybedilmiş ya da unutulmuşsa] Eşya [otobüs durağında / kafe masasında] sahibi tarafından unutulmuş, zilyetlikten çıkmış bir eşyadır. Bu durumda alma eylemi hırsızlık değil, kaybedilmiş eşya üzerinde tasarruf (TCK 160) olarak değerlendirilmelidir. Bu suç şikâyete bağlıdır ve cezası bir yıla kadar hapis veya adli para cezasıdır.</w:t>
      </w:r>
    </w:p>
    <w:p>
      <w:pPr>
        <w:jc w:val="both"/>
        <w:spacing w:after="120" w:line="276" w:lineRule="auto"/>
      </w:pPr>
      <w:r>
        <w:t xml:space="preserve">11. </w:t>
      </w:r>
      <w:r>
        <w:t xml:space="preserve">[SEÇENEK — dosyanıza uyuyorsa kullanın: TCK 142/2-h ileri sürüldüyse] Eşya ne kilitli bir yerde ne de bina veya eklentileri içinde muhafaza altına alınmış durumdadır; [açık bahçede / bina dışında / kapısı açık bir alanda] bulunmaktadır. Muhafaza altına alma, eşyanın korunması için bir engel konulmasını gerektirir. Bu nitelikli hâl gerçekleşmemiştir, eylem temel hâl olan TCK 141/1 kapsamında kalır.</w:t>
      </w:r>
    </w:p>
    <w:p>
      <w:pPr>
        <w:jc w:val="both"/>
        <w:spacing w:after="120" w:line="276" w:lineRule="auto"/>
      </w:pPr>
      <w:r>
        <w:t xml:space="preserve">12. </w:t>
      </w:r>
      <w:r>
        <w:t xml:space="preserve">[SEÇENEK — dosyanıza uyuyorsa kullanın: TCK 142/2-d ileri sürüldüyse] Kilidin taklit anahtar ya da bir aletle açıldığı iddia edilmiş, ancak kapıda veya kilitte zorlama izi olup olmadığı bilirkişiye incelettirilmemiştir. Olay yeri fotoğraflarında [kapı açık / kilit sağlam] görünmektedir. Alet ya da anahtar sanıkta ele geçirilmemiştir.</w:t>
      </w:r>
    </w:p>
    <w:p>
      <w:pPr>
        <w:jc w:val="both"/>
        <w:spacing w:after="120" w:line="276" w:lineRule="auto"/>
      </w:pPr>
      <w:r>
        <w:t xml:space="preserve">13. </w:t>
      </w:r>
      <w:r>
        <w:t xml:space="preserve">[SEÇENEK — dosyanıza uyuyorsa kullanın: TCK 142/2-b ileri sürüldüyse] Eşya müştekinin elinde ya da üstünde değil, [masa / tezgâh] üzerinde durmaktadır; çekip alma yoktur. Özel beceri ise mağdurun fark etmesini önleyen olağan dışı bir el ustalığını gerektirir; dosyada böyle bir beceriyi gösteren delil yoktur.</w:t>
      </w:r>
    </w:p>
    <w:p>
      <w:pPr>
        <w:jc w:val="both"/>
        <w:spacing w:after="120" w:line="276" w:lineRule="auto"/>
      </w:pPr>
      <w:r>
        <w:t xml:space="preserve">14. </w:t>
      </w:r>
      <w:r>
        <w:t xml:space="preserve">[SEÇENEK — dosyanıza uyuyorsa kullanın: gece vakti artırımı istendiyse] Gece vakti, güneşin batmasından bir saat sonra başlayıp doğmasından bir saat önceye kadar süren zamandır (TCK 6/1-e). Olay günü [il] için güneşin batış saati [..:..] olup gece vakti [..:..]'de başlamaktadır. Müşteki eşyayı en son [..:..]'de gördüğünü, yokluğunu [..:..]'de fark ettiğini söylemiştir; fiilin gece vaktinde işlendiği kesin değildir. Şüphe sanık lehine yorumlanarak TCK 143 artırımı uygulanmamalıdır.</w:t>
      </w:r>
    </w:p>
    <w:p>
      <w:pPr>
        <w:jc w:val="both"/>
        <w:spacing w:after="120" w:line="276" w:lineRule="auto"/>
      </w:pPr>
      <w:r>
        <w:t xml:space="preserve">15. </w:t>
      </w:r>
      <w:r>
        <w:t xml:space="preserve">[SEÇENEK — dosyanıza uyuyorsa kullanın: paydaş mal, alacak ya da aile ilişkisi varsa] [Eşya, sanık ile müştekinin paydaş olduğu / alacağa karşılık alınan bir maldır: TCK 144 uyarınca şikâyete bağlıdır ve müşteki [gg.aa.2026] tarihinde şikâyetinden vazgeçmiştir; davanın CMK 223/8 uyarınca düşmesi gerekir.] [Müşteki sanığın [eşi / annesi / aynı evde yaşayan kardeşi] olduğundan TCK 167/1 uyarınca sanık hakkında cezaya hükmolunamaz.]</w:t>
      </w:r>
    </w:p>
    <w:p>
      <w:pPr>
        <w:jc w:val="both"/>
        <w:spacing w:after="120" w:line="276" w:lineRule="auto"/>
      </w:pPr>
      <w:r>
        <w:t xml:space="preserve">16. </w:t>
      </w:r>
      <w:r>
        <w:rPr>
          <w:b/>
          <w:bCs/>
        </w:rPr>
        <w:t xml:space="preserve">Hukuka aykırı deliller:</w:t>
      </w:r>
      <w:r>
        <w:t xml:space="preserve"> Sanığın [gg.aa.20..] tarihli kolluk ifadesi müdafi olmaksızın alınmıştır ve sanık bu ifadeyi duruşmada doğrulamamıştır; CMK 148/4 uyarınca hükme esas alınamaz. [Varsa: Eşyanın bulunduğu konut araması hâkim kararı ya da savcının yazılı emri olmadan yapılmıştır (CMK 119/1); bu aramayla elde edilen eşya ve tutanak CMK 206/2-a ve 217/2 uyarınca delil olarak kullanılamaz.]</w:t>
      </w:r>
    </w:p>
    <w:p>
      <w:pPr>
        <w:jc w:val="both"/>
        <w:spacing w:after="120" w:line="276" w:lineRule="auto"/>
      </w:pPr>
      <w:r>
        <w:t xml:space="preserve">17. </w:t>
      </w:r>
      <w:r>
        <w:rPr>
          <w:b/>
          <w:bCs/>
        </w:rPr>
        <w:t xml:space="preserve">Malın değeri:</w:t>
      </w:r>
      <w:r>
        <w:t xml:space="preserve"> Alınan eşyanın değeri [tutar] TL'dir [fatura / bilirkişi değer tespiti]. Malın değerinin azlığı nedeniyle cezada indirim yapılması, olayın özelliklerine göre ceza vermekten vazgeçilmesi gerekir (TCK 145). Değer bilirkişi raporuyla tespit edilmemişse bu eksikliğin giderilmesini talep ediyoruz.</w:t>
      </w:r>
    </w:p>
    <w:p>
      <w:pPr>
        <w:jc w:val="both"/>
        <w:spacing w:after="120" w:line="276" w:lineRule="auto"/>
      </w:pPr>
      <w:r>
        <w:t xml:space="preserve">18. </w:t>
      </w:r>
      <w:r>
        <w:t xml:space="preserve">[SEÇENEK — dosyanıza uyuyorsa kullanın: zorunluluk hâli] Sanık eylem tarihinde [işsiz / evine gıda alamaz durumda] olup aldığı şey [gıda / ilaç / bebek maması] gibi ağır ve acil bir ihtiyacı karşılamaya yöneliktir. TCK 147 uyarınca cezada indirim yapılması ya da ceza verilmemesi gerekir.</w:t>
      </w:r>
    </w:p>
    <w:p>
      <w:pPr>
        <w:jc w:val="both"/>
        <w:spacing w:after="120" w:line="276" w:lineRule="auto"/>
      </w:pPr>
      <w:r>
        <w:t xml:space="preserve">19. </w:t>
      </w:r>
      <w:r>
        <w:rPr>
          <w:b/>
          <w:bCs/>
        </w:rPr>
        <w:t xml:space="preserve">Etkin pişmanlık:</w:t>
      </w:r>
      <w:r>
        <w:t xml:space="preserve"> Sanık [gg.aa.2026] tarihinde eşyayı müştekiye [aynen iade etmiş / bedelini ödemiştir] [teslim tutanağı / dekont / müşteki beyanı ekte]. [Eşyanın yerini sanık kendisi göstermiş ve eşya bu sayede sahibine dönmüştür.] Zarar hüküm verilmeden önce giderildiğinden TCK 168/2 uyarınca cezanın yarısına kadar indirim yapılmalıdır. [Soruşturma aşamasında, iddianamenin kabulünden önce ödeme yapıldıysa: TCK 168/1 uyarınca üçte ikiye kadar indirim.] [Kısmi iadede müştekinin rızası TCK 168/4 gereği ekte sunulmuştur.]</w:t>
      </w:r>
    </w:p>
    <w:p>
      <w:pPr>
        <w:jc w:val="both"/>
        <w:spacing w:after="120" w:line="276" w:lineRule="auto"/>
      </w:pPr>
      <w:r>
        <w:t xml:space="preserve">20. </w:t>
      </w:r>
      <w:r>
        <w:rPr>
          <w:b/>
          <w:bCs/>
        </w:rPr>
        <w:t xml:space="preserve">Cezanın belirlenmesi:</w:t>
      </w:r>
      <w:r>
        <w:t xml:space="preserve"> Sanığın sabıkası bulunmamaktadır [adli sicil kaydı ekte]; eşyanın değeri düşüktür ve zarar giderilmiştir. Temel ceza TCK 61'deki ölçütlere göre alt sınırdan belirlenmeli, sanığın duruşmadaki saygılı tutumu ve pişmanlığı nedeniyle TCK 62 indirimi uygulanmalıdır.</w:t>
      </w:r>
    </w:p>
    <w:p>
      <w:pPr>
        <w:jc w:val="both"/>
        <w:spacing w:after="120" w:line="276" w:lineRule="auto"/>
      </w:pPr>
      <w:r>
        <w:rPr>
          <w:b/>
          <w:bCs/>
        </w:rPr>
        <w:t xml:space="preserve">HUKUKİ NEDENLER:</w:t>
      </w:r>
      <w:r>
        <w:t xml:space="preserve"> TCK m.6/1-e, 30, 35, 61, 62, 141, 142, 143, 144, 145, 146, 147, 160, 165, 167, 168; CMK m.119, 148/4, 206, 216, 217, 223, 226, 231, 254 ve ilgili mevzuat.</w:t>
      </w:r>
    </w:p>
    <w:p>
      <w:pPr>
        <w:jc w:val="both"/>
        <w:spacing w:after="120" w:line="276" w:lineRule="auto"/>
      </w:pPr>
      <w:r>
        <w:rPr>
          <w:b/>
          <w:bCs/>
        </w:rPr>
        <w:t xml:space="preserve">DELİLLER:</w:t>
      </w:r>
      <w:r>
        <w:t xml:space="preserve"> Kamera kaydının ham hâli, teşhis tutanağı, olay yeri inceleme raporu, [HTS ve baz istasyonu kayıtları], [satış ilanı ve ödeme belgesi], [değer tespiti], [iade tutanağı / dekont], adli sicil kaydı, [varsa emsal karar künyesi].</w:t>
      </w:r>
    </w:p>
    <w:p>
      <w:pPr>
        <w:jc w:val="both"/>
        <w:spacing w:after="120" w:line="276" w:lineRule="auto"/>
      </w:pPr>
      <w:r>
        <w:rPr>
          <w:b/>
          <w:bCs/>
        </w:rPr>
        <w:t xml:space="preserve">SONUÇ VE İSTEM:</w:t>
      </w:r>
      <w:r>
        <w:t xml:space="preserve"> Yukarıda arz edilen sebeplerle;</w:t>
      </w:r>
    </w:p>
    <w:p>
      <w:pPr>
        <w:jc w:val="both"/>
        <w:spacing w:after="120" w:line="276" w:lineRule="auto"/>
      </w:pPr>
      <w:r>
        <w:t xml:space="preserve">1. </w:t>
      </w:r>
      <w:r>
        <w:t xml:space="preserve">Hükümden önce; olay yerindeki kameraya ait ham kaydın tamamının getirtilip bilirkişiye incelettirilmesine (görüntü iyileştirme, yüz ve beden karşılaştırması, saat damgası doğrulaması), teşhisin benzer kişiler arasında usulüne uygun olarak yeniden yaptırılmasına, [sanığın hattına ait baz istasyonu kayıtlarının], [gece vakti tespiti için olay gününe ait güneş batış ve doğuş saatlerinin resmi kurumdan sorulmasına], [eşyanın değerinin bilirkişiyle belirlenmesine],</w:t>
      </w:r>
    </w:p>
    <w:p>
      <w:pPr>
        <w:jc w:val="both"/>
        <w:spacing w:after="120" w:line="276" w:lineRule="auto"/>
      </w:pPr>
      <w:r>
        <w:t xml:space="preserve">2. </w:t>
      </w:r>
      <w:r>
        <w:t xml:space="preserve">Suçun sanık tarafından işlendiği sabit olmadığından CMK 223/2-e uyarınca, [kast yoksa: CMK 223/2-c uyarınca] BERAATİNE,</w:t>
      </w:r>
    </w:p>
    <w:p>
      <w:pPr>
        <w:jc w:val="both"/>
        <w:spacing w:after="120" w:line="276" w:lineRule="auto"/>
      </w:pPr>
      <w:r>
        <w:t xml:space="preserve">3. </w:t>
      </w:r>
      <w:r>
        <w:t xml:space="preserve">[Şikâyete bağlı suç ve şikâyetten vazgeçme varsa: Davanın CMK 223/8 uyarınca DÜŞMESİNE; TCK 167/1 kapsamındaysa sanık hakkında cezaya hükmolunmamasına,]</w:t>
      </w:r>
    </w:p>
    <w:p>
      <w:pPr>
        <w:jc w:val="both"/>
        <w:spacing w:after="120" w:line="276" w:lineRule="auto"/>
      </w:pPr>
      <w:r>
        <w:t xml:space="preserve">4. </w:t>
      </w:r>
      <w:r>
        <w:t xml:space="preserve">Mahkemeniz aksi kanaatte ise terditli olarak; nitelikli hâllerin ve TCK 143 artırımının uygulanmayarak eylemin TCK 141/1 kapsamında nitelendirilmesine ve dosyanın CMK 254 uyarınca uzlaştırma bürosuna gönderilmesine, [ya da eylemin TCK 144, 146, 160 veya 165 kapsamında değerlendirilmesine], [teşebbüs aşamasında kaldığından TCK 35/2 uyarınca indirim yapılmasına],</w:t>
      </w:r>
    </w:p>
    <w:p>
      <w:pPr>
        <w:jc w:val="both"/>
        <w:spacing w:after="120" w:line="276" w:lineRule="auto"/>
      </w:pPr>
      <w:r>
        <w:t xml:space="preserve">5. </w:t>
      </w:r>
      <w:r>
        <w:t xml:space="preserve">Temel cezanın alt sınırdan tayinine, TCK 145, [147], 168 ve 62 indirimlerinin uygulanmasına,</w:t>
      </w:r>
    </w:p>
    <w:p>
      <w:pPr>
        <w:jc w:val="both"/>
        <w:spacing w:after="120" w:line="276" w:lineRule="auto"/>
      </w:pPr>
      <w:r>
        <w:t xml:space="preserve">6. </w:t>
      </w:r>
      <w:r>
        <w:t xml:space="preserve">Hükmolunacak cezanın açıklanmasının geri bırakılmasına; bu mümkün olmazsa ertelenmesine ya da şartları varsa adli para cezasına çevrilmesine,</w:t>
      </w:r>
    </w:p>
    <w:p>
      <w:pPr>
        <w:jc w:val="both"/>
        <w:spacing w:after="120" w:line="276" w:lineRule="auto"/>
      </w:pPr>
      <w:r>
        <w:t xml:space="preserve">7. </w:t>
      </w:r>
      <w:r>
        <w:t xml:space="preserve">[Sanık tutuklu ise: Tahliyesine, gerekirse adli kontrol tedbiri uygulanmasına],</w:t>
      </w:r>
    </w:p>
    <w:p>
      <w:pPr>
        <w:jc w:val="both"/>
        <w:spacing w:after="120" w:line="276" w:lineRule="auto"/>
      </w:pPr>
      <w:r>
        <w:t xml:space="preserve">karar verilmesini saygılarımla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[Eşyanın satın alındığını gösteren ilan, yazışma ve ödeme belgesi]</w:t>
      </w:r>
    </w:p>
    <w:p>
      <w:pPr>
        <w:jc w:val="both"/>
        <w:spacing w:after="120" w:line="276" w:lineRule="auto"/>
      </w:pPr>
      <w:r>
        <w:t xml:space="preserve">2. </w:t>
      </w:r>
      <w:r>
        <w:t xml:space="preserve">[İade tutanağı / ödeme dekontu ve müşteki beyanı]</w:t>
      </w:r>
    </w:p>
    <w:p>
      <w:pPr>
        <w:jc w:val="both"/>
        <w:spacing w:after="120" w:line="276" w:lineRule="auto"/>
      </w:pPr>
      <w:r>
        <w:t xml:space="preserve">3. </w:t>
      </w:r>
      <w:r>
        <w:t xml:space="preserve">[Şikâyetten vazgeçme beyanı]</w:t>
      </w:r>
    </w:p>
    <w:p>
      <w:pPr>
        <w:jc w:val="both"/>
        <w:spacing w:after="120" w:line="276" w:lineRule="auto"/>
      </w:pPr>
      <w:r>
        <w:t xml:space="preserve">4. </w:t>
      </w:r>
      <w:r>
        <w:t xml:space="preserve">[Değer tespitine esas fatura ya da fiyat araştırması]</w:t>
      </w:r>
    </w:p>
    <w:p>
      <w:pPr>
        <w:jc w:val="both"/>
        <w:spacing w:after="120" w:line="276" w:lineRule="auto"/>
      </w:pPr>
      <w:r>
        <w:t xml:space="preserve">5. </w:t>
      </w:r>
      <w:r>
        <w:t xml:space="preserve">[Adli sicil kaydı, iş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