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 / ÇOCUK AĞIR CEZA MAHKEMESİ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MAĞDUR / KATILAN:</w:t>
      </w:r>
      <w:r>
        <w:t xml:space="preserve"> [Ad Soyad]</w:t>
      </w:r>
    </w:p>
    <w:p>
      <w:pPr>
        <w:jc w:val="both"/>
        <w:spacing w:after="120" w:line="276" w:lineRule="auto"/>
      </w:pPr>
      <w:r>
        <w:rPr>
          <w:b/>
          <w:bCs/>
        </w:rPr>
        <w:t xml:space="preserve">SUÇ:</w:t>
      </w:r>
      <w:r>
        <w:t xml:space="preserve"> Yağma [TCK 148/1 / 149/1-a, b, c, d, e, f, g, h bentlerinden iddianamede gösterilenler]</w:t>
      </w:r>
    </w:p>
    <w:p>
      <w:pPr>
        <w:jc w:val="both"/>
        <w:spacing w:after="120" w:line="276" w:lineRule="auto"/>
      </w:pPr>
      <w:r>
        <w:rPr>
          <w:b/>
          <w:bCs/>
        </w:rPr>
        <w:t xml:space="preserve">MÜTALAA:</w:t>
      </w:r>
      <w:r>
        <w:t xml:space="preserve"> Cumhuriyet savcısının [gg.aa.2026] tarihli oturumda [sözlü / yazılı] açıkladığı esas hakkındaki mütalaa</w:t>
      </w:r>
    </w:p>
    <w:p>
      <w:pPr>
        <w:jc w:val="both"/>
        <w:spacing w:after="120" w:line="276" w:lineRule="auto"/>
      </w:pPr>
      <w:r>
        <w:rPr>
          <w:b/>
          <w:bCs/>
        </w:rPr>
        <w:t xml:space="preserve">KONU:</w:t>
      </w:r>
      <w:r>
        <w:t xml:space="preserve"> Yağma suçlamasına ilişkin esas hakkındaki mütalaaya karşı savunmalarımızın, nitelendirmeye ilişkin itirazlarımızın, delil taleplerimizin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Mütalaada istenen ceza ve değişen vasıf:</w:t>
      </w:r>
      <w:r>
        <w:t xml:space="preserve"> Cumhuriyet savcısı, sanığın [TCK 148/1 / TCK 149/1-[bent]] uyarınca [...] yıl hapis cezasıyla cezalandırılmasını istemiştir. [İddianameden farklıysa: İddianamede yalnız temel hâl gösterilmişken mütalaada [silahla / gece vaktinde / birden fazla kişiyle birlikte] işlendiği ileri sürülmüştür.] Bu artırım nedeni sanığa bildirilip ek savunma imkânı tanınmadıkça hükme esas alınamaz; ek savunma süresi talep ediyoruz.</w:t>
      </w:r>
    </w:p>
    <w:p>
      <w:pPr>
        <w:jc w:val="both"/>
        <w:spacing w:after="120" w:line="276" w:lineRule="auto"/>
      </w:pPr>
      <w:r>
        <w:t xml:space="preserve">2. </w:t>
      </w:r>
      <w:r>
        <w:rPr>
          <w:b/>
          <w:bCs/>
        </w:rPr>
        <w:t xml:space="preserve">Cebir veya tehdit unsuru ispatlanmamıştır:</w:t>
      </w:r>
      <w:r>
        <w:t xml:space="preserve"> TCK 148/1, malın teslim edilmesinin ya da alınmasına karşı konulmamasının, mağdurun hayatına, vücut veya cinsel dokunulmazlığına yönelik bir saldırı ya da malvarlığı itibarıyla büyük bir zarar tehdidiyle veya cebirle sağlanmasını arar. Dosyada mağdurun bedeninde cebir izini gösteren bir rapor [bulunmamaktadır / yalnız basit tıbbi müdahaleyle giderilebilir bir bulgu içermektedir]. Tehdit olarak nitelenen sözün ne olduğu [mağdurun beyanlarında farklı aktarılmıştır / hiçbir tanıkça doğrulanmamıştır]. Cebir ya da kanunda sayılan ağırlıktaki bir tehdit şüpheden uzak biçimde gösterilmedikçe yağma oluşmaz.</w:t>
      </w:r>
    </w:p>
    <w:p>
      <w:pPr>
        <w:jc w:val="both"/>
        <w:spacing w:after="120" w:line="276" w:lineRule="auto"/>
      </w:pPr>
      <w:r>
        <w:t xml:space="preserve">3. </w:t>
      </w:r>
      <w:r>
        <w:rPr>
          <w:b/>
          <w:bCs/>
        </w:rPr>
        <w:t xml:space="preserve">Cebir veya tehdit ile malın alınması arasındaki bağ:</w:t>
      </w:r>
      <w:r>
        <w:t xml:space="preserve"> Yağmada cebir ya da tehdit, malın elde edilmesinin aracıdır. Dosyaya göre [mal, mağdur tarafından [satış / borç / emanet] ilişkisi içinde kendi isteğiyle verilmiştir / tartışma, malın el değiştirmesinden sonra ve başka bir nedenle çıkmıştır]. [SEÇENEK — dosyanıza uyuyorsa kullanın: sanık malı aldıktan sonra yalnız uzaklaşmak için itişmişse] Kuvvet, malı elde tutmak için değil, olay yerinden ayrılırken çıkan itişmede kullanılmıştır; bu durumda eylemin hırsızlık ve yaralama hükümlerine göre ayrı ayrı değerlendirilmesi gerekir.</w:t>
      </w:r>
    </w:p>
    <w:p>
      <w:pPr>
        <w:jc w:val="both"/>
        <w:spacing w:after="120" w:line="276" w:lineRule="auto"/>
      </w:pPr>
      <w:r>
        <w:t xml:space="preserve">4. </w:t>
      </w:r>
      <w:r>
        <w:rPr>
          <w:b/>
          <w:bCs/>
        </w:rPr>
        <w:t xml:space="preserve">Hukuki ilişkiye dayanan alacak (TCK 150/1):</w:t>
      </w:r>
      <w:r>
        <w:t xml:space="preserve"> [SEÇENEK — dosyanıza uyuyorsa kullanın: sanık mağdurdan gerçek bir alacağını istediyse] Sanık ile mağdur arasında [gg.aa....] tarihli [borç / iş ücreti / kira / satış bedeli] ilişkisi bulunmakta olup mağdurun sanığa [...] TL borcu vardır. Bu alacak [senet / banka dekontu / mesaj yazışması / tanık [...]] ile sabittir. Sanık bu alacağı tahsil amacıyla hareket etmiş, alacak miktarını aşan bir değer almamıştır. Kişinin hukuki ilişkiye dayanan alacağını tahsil amacıyla tehdit veya cebir kullanması hâlinde ancak tehdit ya da kasten yaralama hükümleri uygulanır; eylem yağma olarak nitelendirilemez.</w:t>
      </w:r>
    </w:p>
    <w:p>
      <w:pPr>
        <w:jc w:val="both"/>
        <w:spacing w:after="120" w:line="276" w:lineRule="auto"/>
      </w:pPr>
      <w:r>
        <w:t xml:space="preserve">5. </w:t>
      </w:r>
      <w:r>
        <w:rPr>
          <w:b/>
          <w:bCs/>
        </w:rPr>
        <w:t xml:space="preserve">Kapkaç ve hırsızlık ayrımı:</w:t>
      </w:r>
      <w:r>
        <w:t xml:space="preserve"> [SEÇENEK — dosyanıza uyuyorsa kullanın: eşya mağdurun elinden ya da üstünden çekilerek alındıysa] Mağdurun anlatımına göre [çanta / telefon] elinden çekilerek alınmış, kuvvet yalnız eşyaya yönelmiş ve mağdurun bedenine yönelik bir saldırı olmamıştır. Elde veya üstte taşınan eşyanın çekip alınması TCK 142/2-b kapsamında nitelikli hırsızlıktır; mağdurun direncini kırmaya yönelik ayrı bir cebir gösterilmedikçe yağma hükümleri uygulanamaz.</w:t>
      </w:r>
    </w:p>
    <w:p>
      <w:pPr>
        <w:jc w:val="both"/>
        <w:spacing w:after="120" w:line="276" w:lineRule="auto"/>
      </w:pPr>
      <w:r>
        <w:t xml:space="preserve">6. </w:t>
      </w:r>
      <w:r>
        <w:rPr>
          <w:b/>
          <w:bCs/>
        </w:rPr>
        <w:t xml:space="preserve">Şantaj ayrımı:</w:t>
      </w:r>
      <w:r>
        <w:t xml:space="preserve"> [SEÇENEK — dosyanıza uyuyorsa kullanın: tehdidin konusu bir sırrın açıklanması ya da şikâyet ise] Mağdurdan para istenirken kullanıldığı ileri sürülen söz, [bir bilginin ya da görüntünün açıklanması / şikâyet edilmesi / işyerine bildirilmesi] ile ilgilidir; mağdurun hayatına veya vücut dokunulmazlığına yönelik bir saldırı içermez. Bu içerikteki baskı yağmanın değil, TCK 107'deki şantajın konusudur.</w:t>
      </w:r>
    </w:p>
    <w:p>
      <w:pPr>
        <w:jc w:val="both"/>
        <w:spacing w:after="120" w:line="276" w:lineRule="auto"/>
      </w:pPr>
      <w:r>
        <w:t xml:space="preserve">7. </w:t>
      </w:r>
      <w:r>
        <w:rPr>
          <w:b/>
          <w:bCs/>
        </w:rPr>
        <w:t xml:space="preserve">Teşhis işlemine itiraz:</w:t>
      </w:r>
      <w:r>
        <w:t xml:space="preserve"> [SEÇENEK — dosyanıza uyuyorsa kullanın: fail tanınmıyorsa ve sanık teşhisle bulunduysa] Sanık, mağdura [tek fotoğraf gösterilerek / kolluk binasında tek başına gösterilerek / teşhisten önce sosyal medyada görülerek] teşhis ettirilmiştir. Benzer görünümlü kişiler arasında yapılan bir sıra teşhisi ve buna ilişkin ayrıntılı tutanak yoktur. Mağdurun olaydan hemen sonra verdiği tarif [boy, yaş, saç, kıyafet, belirgin iz] bakımından sanıkla örtüşmemektedir: [farkları yazın]. Olay [karanlıkta / birkaç saniye içinde / mağdurun korku altında olduğu bir anda] gerçekleşmiştir. Uygulamada bu biçimde yapılan teşhis tek başına mahkûmiyete yeterli görülmez; teşhisin usulüne uygun biçimde yinelenmesini ya da başka delille desteklenip desteklenmediğinin tartışılmasını talep ediyoruz.</w:t>
      </w:r>
    </w:p>
    <w:p>
      <w:pPr>
        <w:jc w:val="both"/>
        <w:spacing w:after="120" w:line="276" w:lineRule="auto"/>
      </w:pPr>
      <w:r>
        <w:t xml:space="preserve">8. </w:t>
      </w:r>
      <w:r>
        <w:rPr>
          <w:b/>
          <w:bCs/>
        </w:rPr>
        <w:t xml:space="preserve">Sanığın olay yerinde bulunmadığı:</w:t>
      </w:r>
      <w:r>
        <w:t xml:space="preserve"> [SEÇENEK — dosyanıza uyuyorsa kullanın] Sanık olay saati olan [saat] civarında [yer] bulunmaktadır. Bu husus [işyeri giriş kaydı / tanık [...] / kart harcaması] ile desteklenmektedir. Sanığa ait hattın HTS ve baz istasyonu kayıtlarının ve olay yeri çevresindeki kamera görüntülerinin getirtilmesini talep ediyoruz; bu deliller toplanmadan hüküm kurulması eksik araştırma olur.</w:t>
      </w:r>
    </w:p>
    <w:p>
      <w:pPr>
        <w:jc w:val="both"/>
        <w:spacing w:after="120" w:line="276" w:lineRule="auto"/>
      </w:pPr>
      <w:r>
        <w:t xml:space="preserve">9. </w:t>
      </w:r>
      <w:r>
        <w:rPr>
          <w:b/>
          <w:bCs/>
        </w:rPr>
        <w:t xml:space="preserve">Silahla işleme (TCK 149/1-a):</w:t>
      </w:r>
      <w:r>
        <w:t xml:space="preserve"> [SEÇENEK — dosyanıza uyuyorsa kullanın] Olayda kullanıldığı ileri sürülen alet ele geçirilmemiş ve hiçbir incelemeye konu edilmemiştir. [Ele geçen cisim [oyuncak tabanca / kurusıkı / sopa] olup saldırıya elverişliliği bilirkişiyle tespit edilmemiştir.] Mağdurun "elinde bir şey vardı" şeklindeki anlatımı, aletin TCK 6/1-f anlamında silah olduğunu ispatlamaz. Silah nitelikli hâli uygulanamaz.</w:t>
      </w:r>
    </w:p>
    <w:p>
      <w:pPr>
        <w:jc w:val="both"/>
        <w:spacing w:after="120" w:line="276" w:lineRule="auto"/>
      </w:pPr>
      <w:r>
        <w:t xml:space="preserve">10. </w:t>
      </w:r>
      <w:r>
        <w:rPr>
          <w:b/>
          <w:bCs/>
        </w:rPr>
        <w:t xml:space="preserve">Birden fazla kişiyle birlikte işleme (TCK 149/1-c):</w:t>
      </w:r>
      <w:r>
        <w:t xml:space="preserve"> [SEÇENEK — dosyanıza uyuyorsa kullanın] Dosyada ikinci bir kişinin kimliği belirlenmemiş ya da bu kişinin cebir veya tehdit eylemine katıldığı gösterilmemiştir. [Yanındaki kişi olay sırasında [uzakta beklemiş / olaydan habersiz olmuştur].] Bu nitelikli hâl için en az iki kişinin suçun icrasına birlikte katılması gerekir; olay yerinde bulunmak tek başına yeterli değildir.</w:t>
      </w:r>
    </w:p>
    <w:p>
      <w:pPr>
        <w:jc w:val="both"/>
        <w:spacing w:after="120" w:line="276" w:lineRule="auto"/>
      </w:pPr>
      <w:r>
        <w:t xml:space="preserve">11. </w:t>
      </w:r>
      <w:r>
        <w:rPr>
          <w:b/>
          <w:bCs/>
        </w:rPr>
        <w:t xml:space="preserve">Gece vakti ve diğer nitelikli hâller:</w:t>
      </w:r>
      <w:r>
        <w:t xml:space="preserve"> [SEÇENEK — dosyanıza uyuyorsa kullanın] Olay saati [saat] olup o tarihte güneşin batışından bir saat sonrası henüz gelmemiştir; TCK 6/1-e'deki gece vakti tanımı gerçekleşmemiştir [resmi gün batımı saatini gösteren kayıt ekte]. [Yüz [şapka / kapüşon] ile yalnız kısmen örtülmüş olup kişinin tanınmasını engelleyecek nitelikte değildir (149/1-b).] [Olay yeri konut, işyeri ya da bunların eklentisi değil, [açık alan] niteliğindedir (149/1-d).]</w:t>
      </w:r>
    </w:p>
    <w:p>
      <w:pPr>
        <w:jc w:val="both"/>
        <w:spacing w:after="120" w:line="276" w:lineRule="auto"/>
      </w:pPr>
      <w:r>
        <w:t xml:space="preserve">12. </w:t>
      </w:r>
      <w:r>
        <w:rPr>
          <w:b/>
          <w:bCs/>
        </w:rPr>
        <w:t xml:space="preserve">Teşebbüs:</w:t>
      </w:r>
      <w:r>
        <w:t xml:space="preserve"> [SEÇENEK — dosyanıza uyuyorsa kullanın: mal alınamadıysa] Mağdura ait hiçbir mal sanığın eline geçmemiş, mağdur [kaçmış / yardım çağırmış] ve olay [polisin gelmesi / üçüncü kişinin müdahalesi] ile sona ermiştir. Suç tamamlanmamıştır; mahkûmiyet kanaatine varılırsa TCK 35 uyarınca meydana gelen zarar veya tehlikenin ağırlığına göre en üst oranda indirim yapılmalıdır.</w:t>
      </w:r>
    </w:p>
    <w:p>
      <w:pPr>
        <w:jc w:val="both"/>
        <w:spacing w:after="120" w:line="276" w:lineRule="auto"/>
      </w:pPr>
      <w:r>
        <w:t xml:space="preserve">13. </w:t>
      </w:r>
      <w:r>
        <w:rPr>
          <w:b/>
          <w:bCs/>
        </w:rPr>
        <w:t xml:space="preserve">Değer azlığı ve etkin pişmanlık:</w:t>
      </w:r>
      <w:r>
        <w:t xml:space="preserve"> Yağmanın konusu [...] TL değerindeki [eşya] olup değer azlığı nedeniyle TCK 150/2 uyarınca cezanın en üst oran olan yarı oranında indirilmesini talep ediyoruz. [Sanık [gg.aa....] tarihinde malı mağdura iade etmiş / zararı [...] TL ödeyerek tamamen gidermiştir (dekont ekte).] [İade iddianamenin kabulünden önce yapıldıysa: TCK 168/3 uyarınca cezanın yarısına kadar; sonra yapıldıysa üçte birine kadar indirim yapılmalıdır.] [Kısmi iadede mağdurun rızasını gösteren belge ektedir.]</w:t>
      </w:r>
    </w:p>
    <w:p>
      <w:pPr>
        <w:jc w:val="both"/>
        <w:spacing w:after="120" w:line="276" w:lineRule="auto"/>
      </w:pPr>
      <w:r>
        <w:t xml:space="preserve">14. </w:t>
      </w:r>
      <w:r>
        <w:rPr>
          <w:b/>
          <w:bCs/>
        </w:rPr>
        <w:t xml:space="preserve">Usule ilişkin itirazlar:</w:t>
      </w:r>
      <w:r>
        <w:t xml:space="preserve"> [SEÇENEK — dosyanıza uyuyorsa kullanın] Sanığın [gg.aa....] tarihli kolluk ifadesi müdafi hazır bulunmadan alınmış ve hâkim önünde doğrulanmamıştır; hükme esas alınamaz. Sanığın üzerinde ya da evinde bulunduğu belirtilen [eşya], [arama kararı / gecikmede sakınca hâlinde yazılı emir] olmaksızın yapılan arama sonucu elde edilmiştir; kanuna aykırı yoldan elde edilen delil hükme esas alınamaz. [Eşyanın mağdura ait olduğu, seri numarası ya da fatura ile karşılaştırılarak tespit edilmemiştir.]</w:t>
      </w:r>
    </w:p>
    <w:p>
      <w:pPr>
        <w:jc w:val="both"/>
        <w:spacing w:after="120" w:line="276" w:lineRule="auto"/>
      </w:pPr>
      <w:r>
        <w:t xml:space="preserve">15. </w:t>
      </w:r>
      <w:r>
        <w:rPr>
          <w:b/>
          <w:bCs/>
        </w:rPr>
        <w:t xml:space="preserve">Ceza tayini ve hüküm seçenekleri:</w:t>
      </w:r>
      <w:r>
        <w:t xml:space="preserve"> Mahkûmiyet kanaatine varılırsa temel ceza, mağdura yönelen cebrin hafifliği, malın değeri ve sanığın kusuru gözetilerek alt sınırdan belirlenmelidir. Sanığın sabıkasızlığı, olaydan sonraki pişmanlığı ve mağdurla iletişimi takdiri indirim nedenidir. [Sanık suç tarihinde 18 yaşından küçükse: yaş küçüklüğü indirimi uygulanmalıdır.] Teşebbüs, değer azlığı ve etkin pişmanlık indirimleriyle sonuç ceza iki yıl veya daha az olursa hükmün açıklanmasının geri bırakılması, bu mümkün görülmezse cezanın ertelenmesi şartları sanık lehine oluşmaktadır [adli sicil kaydı ve zarar giderme belgesi ekte].</w:t>
      </w:r>
    </w:p>
    <w:p>
      <w:pPr>
        <w:jc w:val="both"/>
        <w:spacing w:after="120" w:line="276" w:lineRule="auto"/>
      </w:pPr>
      <w:r>
        <w:rPr>
          <w:b/>
          <w:bCs/>
        </w:rPr>
        <w:t xml:space="preserve">HUKUKİ NEDENLER:</w:t>
      </w:r>
      <w:r>
        <w:t xml:space="preserve"> TCK m.6, 31, 35, 61, 62, 106, 107, 142, 148, 149, 150, 168; CMK m.116, 119, 148, 206, 207, 216, 217, 223, 226, 231 ve ilgili mevzuat.</w:t>
      </w:r>
    </w:p>
    <w:p>
      <w:pPr>
        <w:jc w:val="both"/>
        <w:spacing w:after="120" w:line="276" w:lineRule="auto"/>
      </w:pPr>
      <w:r>
        <w:rPr>
          <w:b/>
          <w:bCs/>
        </w:rPr>
        <w:t xml:space="preserve">DELİLLER:</w:t>
      </w:r>
      <w:r>
        <w:t xml:space="preserve"> Dosya kapsamı, mağdurun ilk tarifi ve sonraki beyanları, teşhis tutanağı, [darp raporu], [kamera görüntüleri], [HTS ve baz kayıtları], [alacağı gösteren senet, dekont ve yazışmalar], [iade tutanağı / zarar giderme dekontu], [değer tespitine ilişkin bilirkişi raporu], [tanık [...]],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[olay yeri kamera görüntülerinin / sanığa ait hattın HTS ve baz kayıtlarının getirtilmesine], [tanık [...] dinlenmesine], [teşhisin usulüne uygun biçimde yinelenmesine], [eşyanın değerinin bilirkişiyle belirlenmesine] ilişkin taleplerimizin kabulüne, [mütalaada vasıf değiştiyse: ek savunma süresi verilmesine],</w:t>
      </w:r>
    </w:p>
    <w:p>
      <w:pPr>
        <w:jc w:val="both"/>
        <w:spacing w:after="120" w:line="276" w:lineRule="auto"/>
      </w:pPr>
      <w:r>
        <w:t xml:space="preserve">2. </w:t>
      </w:r>
      <w:r>
        <w:t xml:space="preserve">Sanığın üzerine atılı yağma suçundan, [suçun sanık tarafından işlendiği sabit olmadığından / yüklenen fiil yağma suçunu oluşturmadığından] CMK 223/2 uyarınca BERAATİNE,</w:t>
      </w:r>
    </w:p>
    <w:p>
      <w:pPr>
        <w:jc w:val="both"/>
        <w:spacing w:after="120" w:line="276" w:lineRule="auto"/>
      </w:pPr>
      <w:r>
        <w:t xml:space="preserve">3. </w:t>
      </w:r>
      <w:r>
        <w:t xml:space="preserve">Mahkemeniz aksi kanaatte ise, terditli olarak; eylemin [TCK 150/1 delaletiyle tehdit (TCK 106) veya kasten yaralama (TCK 86) / TCK 142/2-b nitelikli hırsızlık / TCK 107 şantaj] olarak nitelendirilmesine,</w:t>
      </w:r>
    </w:p>
    <w:p>
      <w:pPr>
        <w:jc w:val="both"/>
        <w:spacing w:after="120" w:line="276" w:lineRule="auto"/>
      </w:pPr>
      <w:r>
        <w:t xml:space="preserve">4. </w:t>
      </w:r>
      <w:r>
        <w:t xml:space="preserve">Yağma kabul edilirse, mütalaada istenen [TCK 149/1-...] nitelikli hâlinin uygulanmamasına, eylemin teşebbüs aşamasında kaldığının kabulüne,</w:t>
      </w:r>
    </w:p>
    <w:p>
      <w:pPr>
        <w:jc w:val="both"/>
        <w:spacing w:after="120" w:line="276" w:lineRule="auto"/>
      </w:pPr>
      <w:r>
        <w:t xml:space="preserve">5. </w:t>
      </w:r>
      <w:r>
        <w:t xml:space="preserve">Temel cezanın alt sınırdan belirlenmesine, TCK 150/2 değer azlığı, TCK 168/3 etkin pişmanlık ve TCK 62 takdiri indirim hükümlerinin uygulanmasına, [sanık suç tarihinde çocuksa: TCK 31 uyarınca indirim yapılmasına],</w:t>
      </w:r>
    </w:p>
    <w:p>
      <w:pPr>
        <w:jc w:val="both"/>
        <w:spacing w:after="120" w:line="276" w:lineRule="auto"/>
      </w:pPr>
      <w:r>
        <w:t xml:space="preserve">6. </w:t>
      </w:r>
      <w:r>
        <w:t xml:space="preserve">Sonuç ceza iki yıl veya daha az olursa hükmün açıklanmasının geri bırakılmasına, bu mümkün görülmezse cezanın ertelenmesine,</w:t>
      </w:r>
    </w:p>
    <w:p>
      <w:pPr>
        <w:jc w:val="both"/>
        <w:spacing w:after="120" w:line="276" w:lineRule="auto"/>
      </w:pPr>
      <w:r>
        <w:t xml:space="preserve">7. </w:t>
      </w:r>
      <w:r>
        <w:t xml:space="preserve">[Sanık tutuklu ise: sanığın tahliyesine, gerekli görülürse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[Alacağı gösteren senet, dekont veya yazışma örnekleri]</w:t>
      </w:r>
    </w:p>
    <w:p>
      <w:pPr>
        <w:jc w:val="both"/>
        <w:spacing w:after="120" w:line="276" w:lineRule="auto"/>
      </w:pPr>
      <w:r>
        <w:t xml:space="preserve">2. </w:t>
      </w:r>
      <w:r>
        <w:t xml:space="preserve">[İade tutanağı / zarar giderme dekontu ve varsa mağdurun rıza beyanı]</w:t>
      </w:r>
    </w:p>
    <w:p>
      <w:pPr>
        <w:jc w:val="both"/>
        <w:spacing w:after="120" w:line="276" w:lineRule="auto"/>
      </w:pPr>
      <w:r>
        <w:t xml:space="preserve">3. </w:t>
      </w:r>
      <w:r>
        <w:t xml:space="preserve">[Olay saatinde başka yerde bulunduğunu gösteren belgeler]</w:t>
      </w:r>
    </w:p>
    <w:p>
      <w:pPr>
        <w:jc w:val="both"/>
        <w:spacing w:after="120" w:line="276" w:lineRule="auto"/>
      </w:pPr>
      <w:r>
        <w:t xml:space="preserve">4. </w:t>
      </w:r>
      <w:r>
        <w:t xml:space="preserve">[Gün batımı saatini gösteren resmi kayıt]</w:t>
      </w:r>
    </w:p>
    <w:p>
      <w:pPr>
        <w:jc w:val="both"/>
        <w:spacing w:after="120" w:line="276" w:lineRule="auto"/>
      </w:pPr>
      <w:r>
        <w:t xml:space="preserve">5. </w:t>
      </w:r>
      <w:r>
        <w:t xml:space="preserve">[Adli sicil kaydı ve iş,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