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 AĞIR CEZA MAHKEMESİ BAŞKANLIĞINA — duruşma davetiyesinde yazan mahkemeyi aynen yazın]</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w:t>
      </w:r>
    </w:p>
    <w:p>
      <w:pPr>
        <w:jc w:val="both"/>
        <w:spacing w:after="120" w:line="276" w:lineRule="auto"/>
      </w:pPr>
      <w:r>
        <w:rPr>
          <w:b/>
          <w:bCs/>
        </w:rPr>
        <w:t xml:space="preserve">SUÇ:</w:t>
      </w:r>
      <w:r>
        <w:t xml:space="preserve"> Nitelikli dolandırıcılık [TCK 158/1-f / 158/1-l; iddianamede yazıyorsa: TCK 37 veya 39 ile]</w:t>
      </w:r>
    </w:p>
    <w:p>
      <w:pPr>
        <w:jc w:val="both"/>
        <w:spacing w:after="120" w:line="276" w:lineRule="auto"/>
      </w:pPr>
      <w:r>
        <w:rPr>
          <w:b/>
          <w:bCs/>
        </w:rPr>
        <w:t xml:space="preserve">MÜTALAA:</w:t>
      </w:r>
      <w:r>
        <w:t xml:space="preserve"> Cumhuriyet savcısının [gg.aa.2026] tarihli oturumda açıkladığı esas hakkındaki mütalaa</w:t>
      </w:r>
    </w:p>
    <w:p>
      <w:pPr>
        <w:jc w:val="both"/>
        <w:spacing w:after="120" w:line="276" w:lineRule="auto"/>
      </w:pPr>
      <w:r>
        <w:rPr>
          <w:b/>
          <w:bCs/>
        </w:rPr>
        <w:t xml:space="preserve">KONU:</w:t>
      </w:r>
      <w:r>
        <w:t xml:space="preserve"> Banka hesabının dolandırıcılıkta kullanıldığı iddiasıyla açılan davada, esas hakkındaki mütalaaya karşı savunmalarımızın, delil taleplerimizin ve terditli hüküm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Mütalaada sanığa yüklenen fiil:</w:t>
      </w:r>
      <w:r>
        <w:t xml:space="preserve"> Cumhuriyet savcısı, müştekinin [gg.aa.20..] tarihinde [banka adı] nezdindeki, IBAN numarası [TR.. son dört hane: ....] olan ve sanık adına kayıtlı hesaba [tutar] TL gönderdiğini, sanığın bu hesabı dolandırıcılara bilerek kullandırdığını ileri sürmüş ve sanığın [TCK 158/1-f, TCK 37] uyarınca cezalandırılmasını istemiştir. Mütalaada sanığın müştekiyle konuştuğu, ona bir yalan söylediği ya da paranın gönderilmesi için bir hile kurduğu yönünde tek bir somut tespit bulunmamaktadır. Mütalaanın tek dayanağı, paranın sanık adına kayıtlı hesaba gelmiş olmasıdır. Hesap sahipliği, suçun faili olmak anlamına gelmez.</w:t>
      </w:r>
    </w:p>
    <w:p>
      <w:pPr>
        <w:jc w:val="both"/>
        <w:spacing w:after="120" w:line="276" w:lineRule="auto"/>
      </w:pPr>
      <w:r>
        <w:t xml:space="preserve">2. </w:t>
      </w:r>
      <w:r>
        <w:rPr>
          <w:b/>
          <w:bCs/>
        </w:rPr>
        <w:t xml:space="preserve">Hileli davranış unsuru sanık yönünden yoktur:</w:t>
      </w:r>
      <w:r>
        <w:t xml:space="preserve"> TCK 157 ve 158'deki suçun ilk unsuru, mağdurun iradesini yanıltacak yoğunlukta bir hiledir. Dosyadaki müşteki beyanına göre müştekiyi arayan ve kendini [kamu görevlisi / banka çalışanı / ilan sahibi] olarak tanıtan kişi [telefon numarası / sosyal medya hesap adı] üzerinden iletişim kurmuştur. Bu hattın ya da hesabın sanıkla bağlantısı tespit edilmemiştir; dosyadaki HTS kayıtlarında sanığın hattı ile müştekinin hattı arasında hiçbir görüşme yoktur [HTS raporunun ilgili sayfası: ...]. Hileyi kuran kişi belirlenmeden, hesap sahibinin bu hileyi bildiği varsayılarak hüküm kurulamaz.</w:t>
      </w:r>
    </w:p>
    <w:p>
      <w:pPr>
        <w:jc w:val="both"/>
        <w:spacing w:after="120" w:line="276" w:lineRule="auto"/>
      </w:pPr>
      <w:r>
        <w:t xml:space="preserve">3. </w:t>
      </w:r>
      <w:r>
        <w:rPr>
          <w:b/>
          <w:bCs/>
        </w:rPr>
        <w:t xml:space="preserve">Aldatma ve illiyet bağı:</w:t>
      </w:r>
      <w:r>
        <w:t xml:space="preserve"> Müşteki [gg.aa.20..] tarihli ifadesinde ve [gg.aa.2026] tarihli duruşmada sanığı tanımadığını, onunla hiç konuşmadığını, parayı kendisine söylenen IBAN'a gönderdiğini beyan etmiştir [tutanak sayfa no]. Müştekinin aldanması ile sanığın herhangi bir davranışı arasında nedensellik bağı kurulamamaktadır. Hesabın yalnız paranın geçtiği yer olması, sanığın aldatmaya katıldığını göstermez.</w:t>
      </w:r>
    </w:p>
    <w:p>
      <w:pPr>
        <w:jc w:val="both"/>
        <w:spacing w:after="120" w:line="276" w:lineRule="auto"/>
      </w:pPr>
      <w:r>
        <w:t xml:space="preserve">4. </w:t>
      </w:r>
      <w:r>
        <w:rPr>
          <w:b/>
          <w:bCs/>
        </w:rPr>
        <w:t xml:space="preserve">Yarar unsuru ve paranın akıbeti:</w:t>
      </w:r>
      <w:r>
        <w:t xml:space="preserve"> Banka hesap ekstresine göre hesaba gelen [tutar] TL, [gg.aa.20.. saat ..:..] itibarıyla [ATM'den çekilmiş / başka bir hesaba aktarılmış / hesapta blokeli olarak beklemektedir]. Paranın sanık tarafından çekildiğini ya da sanığın bu paradan pay aldığını gösteren bir delil yoktur. [ATM'den çekim varsa: Çekimin yapıldığı ATM'nin kamera kaydı dosyaya getirilmemiştir.] [Para blokede kaldıysa: Sanık hesaptaki paraya hiç dokunmamış, kendisine ulaşan kolluk görevlisine hesabı derhâl bildirmiştir.] Kendisine veya başkasına yarar sağlama unsuru sanık yönünden ispatlanmamıştır.</w:t>
      </w:r>
    </w:p>
    <w:p>
      <w:pPr>
        <w:jc w:val="both"/>
        <w:spacing w:after="120" w:line="276" w:lineRule="auto"/>
      </w:pPr>
      <w:r>
        <w:t xml:space="preserve">5. </w:t>
      </w:r>
      <w:r>
        <w:rPr>
          <w:b/>
          <w:bCs/>
        </w:rPr>
        <w:t xml:space="preserve">Kast unsuru:</w:t>
      </w:r>
      <w:r>
        <w:t xml:space="preserve"> Dolandırıcılık ancak kasten işlenebilir; kast, suçun kanuni tanımındaki unsurların bilerek ve istenerek gerçekleştirilmesidir (TCK 21/1). Mütalaa, sanığın hesabının bir dolandırıcılıkta kullanılacağını bildiğini gösteren hiçbir delil göstermemekte, yalnız "hesabı kullandırdığı" sonucuna dayanmaktadır. Sanık soruşturma ve kovuşturma boyunca aynı savunmayı yapmış, hesap bilgilerinin [nasıl ve kime geçtiğini] tutarlı biçimde anlatmıştır. Hesabın başkası tarafından kullanıldığının bilinmemesi hâlinde suçun manevi unsuru oluşmaz ve beraat kararı CMK 223/2-c uyarınca verilmelidir.</w:t>
      </w:r>
    </w:p>
    <w:p>
      <w:pPr>
        <w:jc w:val="both"/>
        <w:spacing w:after="120" w:line="276" w:lineRule="auto"/>
      </w:pPr>
      <w:r>
        <w:t xml:space="preserve">6. </w:t>
      </w:r>
      <w:r>
        <w:rPr>
          <w:b/>
          <w:bCs/>
        </w:rPr>
        <w:t xml:space="preserve">Nitelikli hâl ayrıca ispat edilmelidir:</w:t>
      </w:r>
      <w:r>
        <w:t xml:space="preserve"> Mütalaada uygulanması istenen [TCK 158/1-f: banka veya bilişim sisteminin araç olarak kullanılması / TCK 158/1-l: kendini kamu görevlisi veya banka çalışanı olarak tanıtma] hâli, hileyi kuran kişinin yöntemine ilişkindir. Sanığın bu yöntemi bildiği gösterilmeden nitelikli hâlden sorumlu tutulması kastın kapsamı dışına çıkar. Müşteki kendisine söylenen yalanı telefonda dinlemiş, sanık bu konuşmadan habersizdir.</w:t>
      </w:r>
    </w:p>
    <w:p>
      <w:pPr>
        <w:jc w:val="both"/>
        <w:spacing w:after="120" w:line="276" w:lineRule="auto"/>
      </w:pPr>
      <w:r>
        <w:t xml:space="preserve">7. </w:t>
      </w:r>
      <w:r>
        <w:t xml:space="preserve">[SEÇENEK — dosyanıza uyuyorsa kullanın: hesap bilgileri ya da kart elden çıktıysa] Sanığın banka kartı [gg.aa.20..] tarihinde [kaybolmuş / çalınmış / telefonuyla birlikte elinden çıkmıştır]. Sanık [gg.aa.20..] tarihinde bankaya kayıp bildiriminde bulunmuş [ya da: şifresini değiştirmiş, hattını kapattırmıştır]; belgesi ekte sunulmuştur. Şüpheli işlemlerin yapıldığı saatte internet bankacılığına bağlanılan IP adresi ve cihaz bilgisinin sanığın kullandığı cihaz ve hatla eşleşmediği, bankadan istenecek oturum kayıtlarıyla ortaya çıkacaktır.</w:t>
      </w:r>
    </w:p>
    <w:p>
      <w:pPr>
        <w:jc w:val="both"/>
        <w:spacing w:after="120" w:line="276" w:lineRule="auto"/>
      </w:pPr>
      <w:r>
        <w:t xml:space="preserve">8. </w:t>
      </w:r>
      <w:r>
        <w:t xml:space="preserve">[SEÇENEK — dosyanıza uyuyorsa kullanın: iş ya da kredi vaadiyle kandırıldıysa] Sanık, [sosyal medya / iş ilanı sitesi] üzerinden kendisine ulaşan ve "[evden çalışma / kredi notu yükseltme / kargo ödemesi]" vaadinde bulunan kişilerce aldatılmış, hesabına gelecek paranın şirket tahsilatı olduğu söylenerek hesap bilgilerini vermiştir. Ekte sunulan yazışmalar bu kurguyu açıkça göstermektedir. Sanık durumu fark ettiği [gg.aa.20..] tarihinde Cumhuriyet başsavcılığına kendisi şikâyette bulunmuştur. Kendisi de aldatılan kişinin, aynı aldatmanın faili sayılması hayatın olağan akışına aykırıdır.</w:t>
      </w:r>
    </w:p>
    <w:p>
      <w:pPr>
        <w:jc w:val="both"/>
        <w:spacing w:after="120" w:line="276" w:lineRule="auto"/>
      </w:pPr>
      <w:r>
        <w:t xml:space="preserve">9. </w:t>
      </w:r>
      <w:r>
        <w:t xml:space="preserve">[SEÇENEK — dosyanıza uyuyorsa kullanın: hesaba gelen paranın meşru bir karşılığı varsa] Müştekinin gönderdiği para, sanığın [ikinci el eşya / hizmet] satışının bedelidir. Sanık bedeli aldıktan sonra [kargo takip no / teslim tutanağı] ile ürünü göndermiş ya da parayı aracıya devretmiştir. Ticari bir ilişkinin varlığı, hilenin sanıktan değil üçüncü kişiden kaynaklandığını gösterir.</w:t>
      </w:r>
    </w:p>
    <w:p>
      <w:pPr>
        <w:jc w:val="both"/>
        <w:spacing w:after="120" w:line="276" w:lineRule="auto"/>
      </w:pPr>
      <w:r>
        <w:t xml:space="preserve">10. </w:t>
      </w:r>
      <w:r>
        <w:rPr>
          <w:b/>
          <w:bCs/>
        </w:rPr>
        <w:t xml:space="preserve">Hukuka aykırı ve hükme esas alınamayacak deliller:</w:t>
      </w:r>
      <w:r>
        <w:t xml:space="preserve"> Sanığın [gg.aa.20..] tarihli kolluk ifadesi müdafi hazır bulunmadan alınmış ve sanık bu ifadeyi hâkim huzurunda doğrulamamıştır; bu ifade CMK 148/4 uyarınca hükme esas alınamaz. [Varsa: Sanığın telefonundaki yazışmalar, CMK 134'e göre verilmiş bir karar olmaksızın incelenmiştir; bu inceleme sonucu elde edilen tutanak CMK 206/2-a ve 217/2 uyarınca delil değeri yoktur.]</w:t>
      </w:r>
    </w:p>
    <w:p>
      <w:pPr>
        <w:jc w:val="both"/>
        <w:spacing w:after="120" w:line="276" w:lineRule="auto"/>
      </w:pPr>
      <w:r>
        <w:t xml:space="preserve">11. </w:t>
      </w:r>
      <w:r>
        <w:rPr>
          <w:b/>
          <w:bCs/>
        </w:rPr>
        <w:t xml:space="preserve">Eksik araştırma ve bilirkişi raporu:</w:t>
      </w:r>
      <w:r>
        <w:t xml:space="preserve"> Dosyadaki [MASAK raporu / hesap hareketleri bilirkişi raporu] yalnız paranın hesaba girişini ve çıkışını göstermektedir; çıkış işlemini kimin, hangi cihazla, hangi konumdan yaptığını göstermemektedir. Sanık bu eksikliği daha önce [gg.aa.2026] tarihli dilekçesiyle bildirmiştir. Banka kayıtları getirilmeden kurulacak hüküm eksik incelemeye dayanır.</w:t>
      </w:r>
    </w:p>
    <w:p>
      <w:pPr>
        <w:jc w:val="both"/>
        <w:spacing w:after="120" w:line="276" w:lineRule="auto"/>
      </w:pPr>
      <w:r>
        <w:t xml:space="preserve">12. </w:t>
      </w:r>
      <w:r>
        <w:t xml:space="preserve">[SEÇENEK — dosyanıza uyuyorsa kullanın: banka yalnız ödeme kanalı olduysa] Müşteki, [yüz yüze görüşme / telefon görüşmesi] ile aldatılmış ve parayı kendi iradesiyle havale etmiştir. Hile internet ilanı ya da başka bir bilişim sistemi üzerinden kurulmamıştır; banka hileye alet edilmemiş, yalnız paranın gönderildiği kanal olmuştur. Yargıtay'ın yerleşik uygulamasında, bankanın aldatılmadığı ve yalnız ödeme aracı olduğu bu tür olaylarda TCK 158/1-f'deki nitelikli hâl oluşmaz; mütalaada başka bir bent (özellikle kendini kamu görevlisi veya banka çalışanı olarak tanıtma, 158/1-l) ileri sürülmemişse eylem en fazla TCK 157/1 kapsamında kalır [varsa emsal karar künyesi]. TCK 157 uzlaştırma kapsamındaki bir suç olduğundan dosyanın CMK 254 uyarınca uzlaştırma bürosuna gönderilmesi gerekir.</w:t>
      </w:r>
    </w:p>
    <w:p>
      <w:pPr>
        <w:jc w:val="both"/>
        <w:spacing w:after="120" w:line="276" w:lineRule="auto"/>
      </w:pPr>
      <w:r>
        <w:t xml:space="preserve">13. </w:t>
      </w:r>
      <w:r>
        <w:t xml:space="preserve">[SEÇENEK — dosyanıza uyuyorsa kullanın: katkı yalnız hesap bilgisini vermekse] Mahkemeniz sanığın hesabı bilerek verdiğini kabul etse bile, dosyadaki delillere göre sanığın katkısı hesabın kullanılmasını sağlayan bilgileri ya da kartı başkasına vermekten ibarettir; sanık müştekiyle temas kurmamış, parayı çekmemiş, başka hesaba aktarmamıştır. 7589 sayılı Kanunla eklenen TCK 158/4 uyarınca bu durumda verilecek ceza yarı oranında indirilir. Fiil bu hükmün yürürlüğünden önce işlenmiş olsa bile lehe kanun olarak uygulanması zorunludur (TCK 7/2).</w:t>
      </w:r>
    </w:p>
    <w:p>
      <w:pPr>
        <w:jc w:val="both"/>
        <w:spacing w:after="120" w:line="276" w:lineRule="auto"/>
      </w:pPr>
      <w:r>
        <w:t xml:space="preserve">14. </w:t>
      </w:r>
      <w:r>
        <w:t xml:space="preserve">[SEÇENEK — dosyanıza uyuyorsa kullanın: fail değil yardım eden] Sanık, suçun icrai hareketlerini (müştekiyi aramak, hile kurmak, parayı çekmek) gerçekleştirmemiştir. Mütalaada sanığın fail olarak sorumlu tutulması istenmişse, eylem en fazla suçun işlenmesine yardım etme niteliğindedir (TCK 39/2-c) ve ceza TCK 39/1 uyarınca yarı oranında indirilmelidir.</w:t>
      </w:r>
    </w:p>
    <w:p>
      <w:pPr>
        <w:jc w:val="both"/>
        <w:spacing w:after="120" w:line="276" w:lineRule="auto"/>
      </w:pPr>
      <w:r>
        <w:t xml:space="preserve">15. </w:t>
      </w:r>
      <w:r>
        <w:t xml:space="preserve">[SEÇENEK — dosyanıza uyuyorsa kullanın: olası kast tartışılıyorsa] Mahkemeniz sanığın hesabın kötüye kullanılabileceğini öngörmesi gerektiği kanaatine varırsa, bu durum olsa olsa olası kasttır; TCK 21/2 uyarınca temel cezanın üçte birden yarısına kadar indirilmesi gerekir.</w:t>
      </w:r>
    </w:p>
    <w:p>
      <w:pPr>
        <w:jc w:val="both"/>
        <w:spacing w:after="120" w:line="276" w:lineRule="auto"/>
      </w:pPr>
      <w:r>
        <w:t xml:space="preserve">16. </w:t>
      </w:r>
      <w:r>
        <w:rPr>
          <w:b/>
          <w:bCs/>
        </w:rPr>
        <w:t xml:space="preserve">Ceza tayini ve adli para cezası:</w:t>
      </w:r>
      <w:r>
        <w:t xml:space="preserve"> Sanık daha önce bu tür bir suçtan yargılanmamıştır [adli sicil kaydı ekte]. Hesaba gelen tutar [tutar] TL ile sınırlıdır ve müşteki sayısı birdir. Temel hapis cezası alt sınırdan belirlenmelidir (TCK 61). TCK 158/1 son cümlesindeki adli para cezası alt sınırı suçtan elde edilen menfaatin iki katıdır; sanığa geçmeyen ve [blokede kalan / iade edilen] tutar bu hesaba katılmamalıdır. Sanığın duruşmadaki tutumu takdiri indirim nedenidir (TCK 62).</w:t>
      </w:r>
    </w:p>
    <w:p>
      <w:pPr>
        <w:jc w:val="both"/>
        <w:spacing w:after="120" w:line="276" w:lineRule="auto"/>
      </w:pPr>
      <w:r>
        <w:t xml:space="preserve">17. </w:t>
      </w:r>
      <w:r>
        <w:rPr>
          <w:b/>
          <w:bCs/>
        </w:rPr>
        <w:t xml:space="preserve">Etkin pişmanlık:</w:t>
      </w:r>
      <w:r>
        <w:t xml:space="preserve"> Sanık [gg.aa.2026] tarihinde müştekiye [tutar] TL ödemiş ve müştekinin zararını [tamamen / müştekinin rızasıyla kısmen] gidermiştir [dekont ve müşteki beyanı ekte]. Ödeme kovuşturma başladıktan sonra, hükümden önce yapıldığından TCK 168/2 uyarınca cezanın yarısına kadar indirim yapılmalıdır. [Kısmi ödemede müştekinin rızası TCK 168/4 gereği ayrıca belgelenmiştir.]</w:t>
      </w:r>
    </w:p>
    <w:p>
      <w:pPr>
        <w:jc w:val="both"/>
        <w:spacing w:after="120" w:line="276" w:lineRule="auto"/>
      </w:pPr>
      <w:r>
        <w:t xml:space="preserve">18. </w:t>
      </w:r>
      <w:r>
        <w:rPr>
          <w:b/>
          <w:bCs/>
        </w:rPr>
        <w:t xml:space="preserve">Hesaptaki el koyma:</w:t>
      </w:r>
      <w:r>
        <w:t xml:space="preserve"> Sanık adına kayıtlı hesaba [CMK 128 / CMK 128/A] uyarınca el konulmuştur. Hesapta suça konu tutarın dışında sanığın [maaş / burs / birikim] olarak yatan [tutar] TL bulunmaktadır. Suça konu olmayan bu kısım yönünden el koymanın sürdürülmesi ölçüsüzdür ve kaldırılması gerekir.</w:t>
      </w:r>
    </w:p>
    <w:p>
      <w:pPr>
        <w:jc w:val="both"/>
        <w:spacing w:after="120" w:line="276" w:lineRule="auto"/>
      </w:pPr>
      <w:r>
        <w:rPr>
          <w:b/>
          <w:bCs/>
        </w:rPr>
        <w:t xml:space="preserve">HUKUKİ NEDENLER:</w:t>
      </w:r>
      <w:r>
        <w:t xml:space="preserve"> TCK m.7/2, 21, 37, 39, 61, 62, 157, 158, 168; CMK m.128, 128/A, 134, 148/4, 206, 216, 217, 223, 226, 231, 254 ve ilgili mevzuat.</w:t>
      </w:r>
    </w:p>
    <w:p>
      <w:pPr>
        <w:jc w:val="both"/>
        <w:spacing w:after="120" w:line="276" w:lineRule="auto"/>
      </w:pPr>
      <w:r>
        <w:rPr>
          <w:b/>
          <w:bCs/>
        </w:rPr>
        <w:t xml:space="preserve">DELİLLER:</w:t>
      </w:r>
      <w:r>
        <w:t xml:space="preserve"> Hesap ekstresi, [MASAK raporu], müşteki ifadeleri, HTS kayıtları, [kayıp/çalıntı kart bildirimi], [iş ilanı ve yazışma ekran görüntüleri ile bunların bilirkişi incelemesi], [sanığın şikâyet dilekçesi], [ödeme dekontu ve müşteki beyanı], adli sicil kaydı, [varsa emsal karar künyesi].</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Hüküm kurulmadan önce, [banka adı]'ndan [gg.aa.20..] ile [gg.aa.20..] arasındaki internet ve mobil bankacılık oturum açma kayıtlarının (IP adresi, cihaz bilgisi, konum), para çekiminin yapıldığı ATM'nin kamera kaydının ve [müştekiyi arayan hat] için abone ve HTS bilgilerinin getirtilmesine, [yazışmaların bilirkişi incelemesine],</w:t>
      </w:r>
    </w:p>
    <w:p>
      <w:pPr>
        <w:jc w:val="both"/>
        <w:spacing w:after="120" w:line="276" w:lineRule="auto"/>
      </w:pPr>
      <w:r>
        <w:t xml:space="preserve">2. </w:t>
      </w:r>
      <w:r>
        <w:t xml:space="preserve">Sanığın kastı bulunmadığından CMK 223/2-c, olmazsa suçun sanık tarafından işlendiği sabit olmadığından CMK 223/2-e uyarınca BERAATİNE,</w:t>
      </w:r>
    </w:p>
    <w:p>
      <w:pPr>
        <w:jc w:val="both"/>
        <w:spacing w:after="120" w:line="276" w:lineRule="auto"/>
      </w:pPr>
      <w:r>
        <w:t xml:space="preserve">3. </w:t>
      </w:r>
      <w:r>
        <w:t xml:space="preserve">Mahkemeniz aksi kanaatte ise terditli olarak; eylemin TCK 157/1 kapsamında nitelendirilmesine ve dosyanın CMK 254 uyarınca uzlaştırma bürosuna gönderilmesine,</w:t>
      </w:r>
    </w:p>
    <w:p>
      <w:pPr>
        <w:jc w:val="both"/>
        <w:spacing w:after="120" w:line="276" w:lineRule="auto"/>
      </w:pPr>
      <w:r>
        <w:t xml:space="preserve">4. </w:t>
      </w:r>
      <w:r>
        <w:t xml:space="preserve">Bu da kabul görmezse; TCK 158/4 uyarınca cezanın yarı oranında indirilmesine, [fail değil yardım eden olarak TCK 39/1], [olası kast hâlinde TCK 21/2], temel cezanın alt sınırdan belirlenmesine, TCK 168/2 ve TCK 62 indirimlerinin uygulanmasına,</w:t>
      </w:r>
    </w:p>
    <w:p>
      <w:pPr>
        <w:jc w:val="both"/>
        <w:spacing w:after="120" w:line="276" w:lineRule="auto"/>
      </w:pPr>
      <w:r>
        <w:t xml:space="preserve">5. </w:t>
      </w:r>
      <w:r>
        <w:t xml:space="preserve">Hükmolunacak cezanın açıklanmasının geri bırakılmasına; bu mümkün görülmezse ertelenmesine ya da şartları varsa adli para cezasına çevrilmesine,</w:t>
      </w:r>
    </w:p>
    <w:p>
      <w:pPr>
        <w:jc w:val="both"/>
        <w:spacing w:after="120" w:line="276" w:lineRule="auto"/>
      </w:pPr>
      <w:r>
        <w:t xml:space="preserve">6. </w:t>
      </w:r>
      <w:r>
        <w:t xml:space="preserve">Sanığın hesabındaki el koymanın suça konu tutarı aşan kısım yönünden kaldırılmasına,</w:t>
      </w:r>
    </w:p>
    <w:p>
      <w:pPr>
        <w:jc w:val="both"/>
        <w:spacing w:after="120" w:line="276" w:lineRule="auto"/>
      </w:pPr>
      <w:r>
        <w:t xml:space="preserve">7. </w:t>
      </w:r>
      <w:r>
        <w:t xml:space="preserve">[Sanık tutuklu ise: Sanığın tahliyesine, gerekirse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[Banka hesap ekstresi]</w:t>
      </w:r>
    </w:p>
    <w:p>
      <w:pPr>
        <w:jc w:val="both"/>
        <w:spacing w:after="120" w:line="276" w:lineRule="auto"/>
      </w:pPr>
      <w:r>
        <w:t xml:space="preserve">2. </w:t>
      </w:r>
      <w:r>
        <w:t xml:space="preserve">[Kayıp/çalıntı kart bildirimi ya da şifre değişikliği kaydı]</w:t>
      </w:r>
    </w:p>
    <w:p>
      <w:pPr>
        <w:jc w:val="both"/>
        <w:spacing w:after="120" w:line="276" w:lineRule="auto"/>
      </w:pPr>
      <w:r>
        <w:t xml:space="preserve">3. </w:t>
      </w:r>
      <w:r>
        <w:t xml:space="preserve">[Yazışma ve iş ilanı ekran görüntüleri]</w:t>
      </w:r>
    </w:p>
    <w:p>
      <w:pPr>
        <w:jc w:val="both"/>
        <w:spacing w:after="120" w:line="276" w:lineRule="auto"/>
      </w:pPr>
      <w:r>
        <w:t xml:space="preserve">4. </w:t>
      </w:r>
      <w:r>
        <w:t xml:space="preserve">[Sanığın şikâyet dilekçesi]</w:t>
      </w:r>
    </w:p>
    <w:p>
      <w:pPr>
        <w:jc w:val="both"/>
        <w:spacing w:after="120" w:line="276" w:lineRule="auto"/>
      </w:pPr>
      <w:r>
        <w:t xml:space="preserve">5. </w:t>
      </w:r>
      <w:r>
        <w:t xml:space="preserve">[Ödeme dekontu ve müşteki beyanı]</w:t>
      </w:r>
    </w:p>
    <w:p>
      <w:pPr>
        <w:jc w:val="both"/>
        <w:spacing w:after="120" w:line="276" w:lineRule="auto"/>
      </w:pPr>
      <w:r>
        <w:t xml:space="preserve">6. </w:t>
      </w:r>
      <w:r>
        <w:t xml:space="preserve">[Adli sicil kaydı, gelir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