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 BAŞKANLIĞINA / ASLİYE CEZA MAHKEMESİ HÂKİMLİĞİNE / ÇOCUK AĞIR CEZA MAHKEMESİ BAŞKANLIĞINA / ÇOCUK MAHKEMESİ HÂKİMLİĞİNE]</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MAĞDUR / KATILAN:</w:t>
      </w:r>
      <w:r>
        <w:t xml:space="preserve"> [Dosyada gösterildiği biçimde; mağdur çocuksa yalnız ad ve soyadının baş harfleri]</w:t>
      </w:r>
    </w:p>
    <w:p>
      <w:pPr>
        <w:jc w:val="both"/>
        <w:spacing w:after="120" w:line="276" w:lineRule="auto"/>
      </w:pPr>
      <w:r>
        <w:rPr>
          <w:b/>
          <w:bCs/>
        </w:rPr>
        <w:t xml:space="preserve">SUÇ:</w:t>
      </w:r>
      <w:r>
        <w:t xml:space="preserve"> [İddianamedeki suç ve madde: TCK 102/1, 102/2, 102/3-..., 103/1, 103/2, 103/3-..., 104/1 ya da 105]</w:t>
      </w:r>
    </w:p>
    <w:p>
      <w:pPr>
        <w:jc w:val="both"/>
        <w:spacing w:after="120" w:line="276" w:lineRule="auto"/>
      </w:pPr>
      <w:r>
        <w:rPr>
          <w:b/>
          <w:bCs/>
        </w:rPr>
        <w:t xml:space="preserve">MÜTALAA:</w:t>
      </w:r>
      <w:r>
        <w:t xml:space="preserve"> Cumhuriyet savcısının [gg.aa.2026] tarihli oturumda [sözlü / yazılı] açıkladığı esas hakkındaki mütalaa</w:t>
      </w:r>
    </w:p>
    <w:p>
      <w:pPr>
        <w:jc w:val="both"/>
        <w:spacing w:after="120" w:line="276" w:lineRule="auto"/>
      </w:pPr>
      <w:r>
        <w:rPr>
          <w:b/>
          <w:bCs/>
        </w:rPr>
        <w:t xml:space="preserve">KONU:</w:t>
      </w:r>
      <w:r>
        <w:t xml:space="preserve"> Cinsel dokunulmazlığa karşı suç isnadına ilişkin mütalaaya karşı savunmalarımızın, delil taleplerimizin ve kademeli (terditli)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içeriği ve suç vasfı:</w:t>
      </w:r>
      <w:r>
        <w:t xml:space="preserve"> Cumhuriyet savcısı, sanığın [TCK 102/... / 103/...] uyarınca, [102/3-... / 103/3-... / 103/4] nitelikli hâli ve [varsa: TCK 43 zincirleme suç] artırımıyla cezalandırılmasını istemiştir. [Mütalaa iddianameden ayrılıyorsa: İddianamede [madde] gösterilmişken mütalaada [organ sokma / mağdurun 12 yaşını tamamlamamış olması / hısımlık / zincirleme suç] ileri sürülmüştür.] Sanığa bu değişiklik bildirilip ek savunma süresi tanınmadan yeni vasıfla hüküm kurulamaz; bu nedenle öncelikle ek savunma süresi talep ediyoruz.</w:t>
      </w:r>
    </w:p>
    <w:p>
      <w:pPr>
        <w:jc w:val="both"/>
        <w:spacing w:after="120" w:line="276" w:lineRule="auto"/>
      </w:pPr>
      <w:r>
        <w:t xml:space="preserve">2. </w:t>
      </w:r>
      <w:r>
        <w:rPr>
          <w:b/>
          <w:bCs/>
        </w:rPr>
        <w:t xml:space="preserve">Vücut dokunulmazlığına temas unsuru:</w:t>
      </w:r>
      <w:r>
        <w:t xml:space="preserve"> TCK 102 ve 103, mağdurun bedenine yönelen ve cinsel amaç taşıyan bir davranışı arar. Dosyada, mağdurun anlatımı dışında böyle bir temasın gerçekleştiğini gösteren bağımsız bir delil bulunmamaktadır. [Somut olarak yazın: adli muayene raporunda temas bulgusu bulunmadığı / olayın geçtiği söylenen yerin ve saatin buna elverişli olmadığı / aynı ortamda bulunan [tanık sıfatı] bir şey görmediğini söylediği.] Temas şüpheden uzak biçimde ispatlanamadıkça bu suçların maddi unsuru oluşmaz.</w:t>
      </w:r>
    </w:p>
    <w:p>
      <w:pPr>
        <w:jc w:val="both"/>
        <w:spacing w:after="120" w:line="276" w:lineRule="auto"/>
      </w:pPr>
      <w:r>
        <w:t xml:space="preserve">3. </w:t>
      </w:r>
      <w:r>
        <w:rPr>
          <w:b/>
          <w:bCs/>
        </w:rPr>
        <w:t xml:space="preserve">Organ veya cisim sokma iddiası (TCK 102/2, 103/2):</w:t>
      </w:r>
      <w:r>
        <w:t xml:space="preserve"> Mütalaada istenen ağır hâl, vücuda organ veya cisim sokulduğunun ayrıca ve kesin biçimde ispatını gerektirir. [gg.aa....] tarihli adli tıp muayene raporunda [bu yönde bir bulgu bulunmadığı / tespit edilen bulgunun eski tarihli olduğu / muayenenin olaydan [...] gün sonra yapıldığı için bulgu aranamadığı] belirtilmiştir. Biyolojik örnek ve DNA incelemesi [yapılmamıştır / sonucu sanıkla eşleşmemiştir]. Bu tablo karşısında nitelikli hâl uygulanamaz; eylem en fazla temel hâl kapsamında tartışılabilir.</w:t>
      </w:r>
    </w:p>
    <w:p>
      <w:pPr>
        <w:jc w:val="both"/>
        <w:spacing w:after="120" w:line="276" w:lineRule="auto"/>
      </w:pPr>
      <w:r>
        <w:t xml:space="preserve">4. </w:t>
      </w:r>
      <w:r>
        <w:rPr>
          <w:b/>
          <w:bCs/>
        </w:rPr>
        <w:t xml:space="preserve">Mağdur beyanının tutarlılığı ve desteklenmesi:</w:t>
      </w:r>
      <w:r>
        <w:t xml:space="preserve"> Yargıtay'ın yerleşik uygulamasında cinsel suçlarda mağdur beyanı önemli bir delildir; ancak hükme esas alınabilmesi için kendi içinde tutarlı olması ve dosyadaki başka olgularla desteklenmesi gerekir. Mağdurun [kolluk / savcılık / adli görüşme odası / duruşma] beyanları arasında [olayın tarihi, yeri, saati, eylemin biçimi, kaç kez yaşandığı, ortamda kimlerin bulunduğu] bakımından şu farklar vardır: [her farkı tutanak tarihi ve sayfasıyla yazın]. Bu farklar zamanla unutulabilecek ayrıntılara değil, olayın özüne ilişkindir. Anlatımı destekleyen [rapor / mesaj / tanık / kamera kaydı] bulunmamaktadır. Bu değerlendirme mağdurun kişiliğine yönelik değildir; ceza yargılamasında mahkûmiyetin şüpheye yer bırakmayan delile dayanması zorunluluğundan kaynaklanır.</w:t>
      </w:r>
    </w:p>
    <w:p>
      <w:pPr>
        <w:jc w:val="both"/>
        <w:spacing w:after="120" w:line="276" w:lineRule="auto"/>
      </w:pPr>
      <w:r>
        <w:t xml:space="preserve">5. </w:t>
      </w:r>
      <w:r>
        <w:rPr>
          <w:b/>
          <w:bCs/>
        </w:rPr>
        <w:t xml:space="preserve">Adli görüşme kaydı ve soru sorma hakkı:</w:t>
      </w:r>
      <w:r>
        <w:t xml:space="preserve"> [SEÇENEK — dosyanıza uyuyorsa kullanın: mağdur çocuksa ya da beyanı özel ortamda alındıysa] Mağdurun beyanı [gg.aa....] tarihinde [adli görüşme odasında / çocuk izlem merkezinde] alınmış, sanık ve müdafii bu dinlemede hazır bulunamamıştır. Görüntü kaydının müdafie izletilmesini ve yazılı tutanağın verilmesini talep ediyoruz. Kayıtta [yönlendirici soru sorulduğu / beyanın bir yakının anlatımından sonra alındığı / uzmanın raporunda [...] tespiti bulunduğu] görülmektedir. Sanığın mağdura hiç soru yöneltememiş olması savunma hakkını kısıtlamaktadır; maddi gerçeğin ortaya çıkarılması bakımından zorunlu olduğundan, sorularımızın uzman aracılığıyla, mahkemenin uygun göreceği ortamda ve mağdurun yeniden örselenmesini önleyecek biçimde yöneltilmesini istiyoruz.</w:t>
      </w:r>
    </w:p>
    <w:p>
      <w:pPr>
        <w:jc w:val="both"/>
        <w:spacing w:after="120" w:line="276" w:lineRule="auto"/>
      </w:pPr>
      <w:r>
        <w:t xml:space="preserve">6. </w:t>
      </w:r>
      <w:r>
        <w:rPr>
          <w:b/>
          <w:bCs/>
        </w:rPr>
        <w:t xml:space="preserve">Yaş unsuru ve yaş hatası (TCK 30):</w:t>
      </w:r>
      <w:r>
        <w:t xml:space="preserve"> [SEÇENEK — dosyanıza uyuyorsa kullanın: mağdurun yaşı ya da yaşın bilinmesi tartışmalıysa] Suçun hangi madde kapsamına girdiği, mağdurun suç tarihindeki yaşına bağlıdır: 15 yaşını tamamlamamış çocuk (103/1-a), 15 ile 18 yaş arasındaki çocuk (103/1-b ve 104/1), 12 yaş sınırı (103/1 ve 103/2'nin son cümleleri). Sanık, mağdurun yaşını [mağdurun kendisini [...] yaşında tanıtması / sosyal medya hesabında [...] yaş yazması / tanışılan yerin yalnız yetişkinlere açık olması / fiziksel görünümü] nedeniyle [15 / 18] yaşından büyük bilmiştir. Suçun maddi unsurunu bilmeyen kişi kasten hareket etmiş olmaz; daha ağır nitelikli hâl konusunda hataya düşen kişi de bu hatasından yararlanır. Bu nedenle [sanığın beraatine / eylemin sanığın bildiği yaşa göre nitelendirilmesine] karar verilmelidir. Mağdurun suç tarihindeki görünümü ve gelişimi hakkında [Adli Tıp Kurumundan rapor alınmasını / mevcut raporun bu yönüyle tartışılmasını] talep ediyoruz.</w:t>
      </w:r>
    </w:p>
    <w:p>
      <w:pPr>
        <w:jc w:val="both"/>
        <w:spacing w:after="120" w:line="276" w:lineRule="auto"/>
      </w:pPr>
      <w:r>
        <w:t xml:space="preserve">7. </w:t>
      </w:r>
      <w:r>
        <w:rPr>
          <w:b/>
          <w:bCs/>
        </w:rPr>
        <w:t xml:space="preserve">Rıza, cebir ve algılama yeteneği:</w:t>
      </w:r>
      <w:r>
        <w:t xml:space="preserve"> [SEÇENEK — dosyanıza uyuyorsa kullanın: mağdur 15 yaşını tamamlamışsa ve cebir, tehdit veya hile iddiası zayıfsa] On beş yaşını tamamlamış çocuğa yönelik cinsel davranış, ancak cebir, tehdit, hile veya iradeyi etkileyen başka bir nedene dayanıyorsa ya da çocuğun fiilin hukuki anlam ve sonuçlarını algılama yeteneği gelişmemişse TCK 103 kapsamına girer. Dosyada cebir veya tehdidi gösteren [darp bulgusu / yardım çağrısı / tanık anlatımı] yoktur; [gg.aa....] tarihli raporda mağdurun algılama yeteneğinin [geliştiği / tespit edilemediği] belirtilmiştir. Bu durumda eylem TCK 103 kapsamında değildir; cinsel ilişki iddiası varsa ancak şikâyete bağlı TCK 104/1 tartışılabilir, cinsel ilişki iddiası yoksa eylem suç oluşturmaz.</w:t>
      </w:r>
    </w:p>
    <w:p>
      <w:pPr>
        <w:jc w:val="both"/>
        <w:spacing w:after="120" w:line="276" w:lineRule="auto"/>
      </w:pPr>
      <w:r>
        <w:t xml:space="preserve">8. </w:t>
      </w:r>
      <w:r>
        <w:rPr>
          <w:b/>
          <w:bCs/>
        </w:rPr>
        <w:t xml:space="preserve">Sarkıntılık ve cinsel taciz ayrımı:</w:t>
      </w:r>
      <w:r>
        <w:t xml:space="preserve"> [SEÇENEK — dosyanıza uyuyorsa kullanın: eylem anlık bir dokunma olarak anlatılıyorsa ya da hiç temas yoksa] Yargıtay'ın yerleşik uygulamasında ani ve kesintili, devamlılık göstermeyen dokunma sarkıntılık düzeyinde kabul edilir. Mağdurun kendi anlatımına göre bile eylem [tek ve anlık bir dokunma] olarak kalmıştır; bu hâlde TCK 102/1 ikinci cümle ya da TCK 103/1 ikinci cümle uygulanabilir. Mağdurun bedenine hiç temas edilmediyse, [söz / mesaj / teşhir] niteliğindeki davranış TCK 102 veya 103 değil, olsa olsa TCK 105 kapsamında cinsel taciz olarak tartışılabilir.</w:t>
      </w:r>
    </w:p>
    <w:p>
      <w:pPr>
        <w:jc w:val="both"/>
        <w:spacing w:after="120" w:line="276" w:lineRule="auto"/>
      </w:pPr>
      <w:r>
        <w:t xml:space="preserve">9. </w:t>
      </w:r>
      <w:r>
        <w:rPr>
          <w:b/>
          <w:bCs/>
        </w:rPr>
        <w:t xml:space="preserve">Nitelikli hâllerin ayrı ayrı ispatı:</w:t>
      </w:r>
      <w:r>
        <w:t xml:space="preserve"> Mütalaada uygulanması istenen [102/3-... / 103/3-... / 103/4] hâli, temel suçtan bağımsız olarak delille gösterilmelidir. [Birlikte işleme iddiasında: dosyada ikinci bir failin kimliği ve olaya katılımı belirlenmemiştir.] [Nüfuz veya hizmet ilişkisi iddiasında: sanık ile mağdur arasındaki ilişkinin bu nüfuzu sağladığı ve eylemde kullanıldığı gösterilmemiştir.] [Hısımlık iddiasında: nüfus kaydı derecesi [...] olup kanundaki üçüncü derece sınırı aşılmaktadır.] [Cebir veya tehdit iddiasında: darp bulgusu ya da tehdidi gösteren bir delil yoktur.] Genel bir anlatımla ağırlaştırıcı neden kabul edilemez.</w:t>
      </w:r>
    </w:p>
    <w:p>
      <w:pPr>
        <w:jc w:val="both"/>
        <w:spacing w:after="120" w:line="276" w:lineRule="auto"/>
      </w:pPr>
      <w:r>
        <w:t xml:space="preserve">10. </w:t>
      </w:r>
      <w:r>
        <w:rPr>
          <w:b/>
          <w:bCs/>
        </w:rPr>
        <w:t xml:space="preserve">Zincirleme suç artırımı:</w:t>
      </w:r>
      <w:r>
        <w:t xml:space="preserve"> [SEÇENEK — dosyanıza uyuyorsa kullanın: mütalaada TCK 43 artırımı istendiyse] Mağdurun beyanında eylemin [birden fazla kez] yaşandığı söylenmekle birlikte tarih, yer ve biçim olarak ayrışan olaylar anlatılmamıştır. Her eylem zaman ve yer bakımından ayrı ayrı belirlenmedikçe zincirleme suç hükümleriyle cezanın artırılması mümkün değildir.</w:t>
      </w:r>
    </w:p>
    <w:p>
      <w:pPr>
        <w:jc w:val="both"/>
        <w:spacing w:after="120" w:line="276" w:lineRule="auto"/>
      </w:pPr>
      <w:r>
        <w:t xml:space="preserve">11. </w:t>
      </w:r>
      <w:r>
        <w:rPr>
          <w:b/>
          <w:bCs/>
        </w:rPr>
        <w:t xml:space="preserve">Dijital deliller:</w:t>
      </w:r>
      <w:r>
        <w:t xml:space="preserve"> [SEÇENEK — dosyanıza uyuyorsa kullanın: mesaj, fotoğraf veya video delil olarak kullanıldıysa] Sanığın [telefonu / bilgisayarı] üzerinde yapılan inceleme [hâkim kararı olmadan / gecikmede sakınca gerekçesiyle verilen savcı kararı süresinde onaylanmadan / yedek (imaj) alınmadan / yedeğin kopyası sanığa verilmeden] yapılmıştır. Dosyadaki ekran görüntüleri, mesajın hangi hesaptan, kim tarafından ve hangi tarihte gönderildiğini teknik olarak göstermemektedir; [hesabın sanığa ait olduğu / mesajın silinip değiştirilmediği] bilirkişi incelemesiyle doğrulanmamıştır.</w:t>
      </w:r>
    </w:p>
    <w:p>
      <w:pPr>
        <w:jc w:val="both"/>
        <w:spacing w:after="120" w:line="276" w:lineRule="auto"/>
      </w:pPr>
      <w:r>
        <w:t xml:space="preserve">12. </w:t>
      </w:r>
      <w:r>
        <w:rPr>
          <w:b/>
          <w:bCs/>
        </w:rPr>
        <w:t xml:space="preserve">Usule ilişkin diğer itirazlar:</w:t>
      </w:r>
      <w:r>
        <w:t xml:space="preserve"> [SEÇENEK — dosyanıza uyuyorsa kullanın] Sanıktan [kan / tükürük / biyolojik örnek] [hâkim kararı olmadan / savcı kararı yirmi dört saat içinde hâkim onayına sunulmadan] alınmıştır; onaylanmayan kararla elde edilen delil kullanılamaz. Sanığın [gg.aa....] tarihli kolluk ifadesi müdafi hazır bulunmadan alınmış ve sanık tarafından hâkim önünde doğrulanmamıştır; bu ifade hükme esas alınamaz.</w:t>
      </w:r>
    </w:p>
    <w:p>
      <w:pPr>
        <w:jc w:val="both"/>
        <w:spacing w:after="120" w:line="276" w:lineRule="auto"/>
      </w:pPr>
      <w:r>
        <w:t xml:space="preserve">13. </w:t>
      </w:r>
      <w:r>
        <w:rPr>
          <w:b/>
          <w:bCs/>
        </w:rPr>
        <w:t xml:space="preserve">Raporlar ve eksik araştırma:</w:t>
      </w:r>
      <w:r>
        <w:t xml:space="preserve"> [ATK / psikiyatri / sosyal inceleme] raporu [mağdurun beyanını değerlendirmeden yalnız anlatıma dayanarak sonuca varmıştır / muayene tarihi ile olay tarihi arasındaki farkı tartışmamıştır]. Ekte sunduğumuz uzman mütalaası bu eksiklikleri göstermektedir; raporu düzenleyen bilirkişinin duruşmada dinlenmesini talep ediyoruz. Ayrıca [olay anında ortamda bulunduğu anlaşılan tanık [...]] dinlenmemiş, sanığın olay saatinde [başka bir yerde] bulunduğunu gösterecek [HTS ve baz istasyonu kayıtları / iş yeri giriş kayıtları / kamera görüntüleri] getirtilmemiştir.</w:t>
      </w:r>
    </w:p>
    <w:p>
      <w:pPr>
        <w:jc w:val="both"/>
        <w:spacing w:after="120" w:line="276" w:lineRule="auto"/>
      </w:pPr>
      <w:r>
        <w:t xml:space="preserve">14. </w:t>
      </w:r>
      <w:r>
        <w:rPr>
          <w:b/>
          <w:bCs/>
        </w:rPr>
        <w:t xml:space="preserve">Şikâyet şartı:</w:t>
      </w:r>
      <w:r>
        <w:t xml:space="preserve"> [SEÇENEK — dosyanıza uyuyorsa kullanın: suç TCK 102/1, 104/1 veya yetişkine karşı 105/1 temel hâl kapsamındaysa ya da sarkıntılık iddiasında fail çocuksa; 105/2'deki nitelikli hâllerde ve mağdur çocuksa cinsel taciz şikâyete bağlı değildir] Bu suç şikâyete bağlıdır. Mağdur [fiili ve faili öğrendiği gg.aa.... tarihinden itibaren altı ay geçtikten sonra şikâyette bulunmuştur / gg.aa.... tarihli beyanıyla şikâyetinden vazgeçmiştir]. Kovuşturma şartı gerçekleşmediğinden davanın düşmesi gerekir.</w:t>
      </w:r>
    </w:p>
    <w:p>
      <w:pPr>
        <w:jc w:val="both"/>
        <w:spacing w:after="120" w:line="276" w:lineRule="auto"/>
      </w:pPr>
      <w:r>
        <w:t xml:space="preserve">15. </w:t>
      </w:r>
      <w:r>
        <w:rPr>
          <w:b/>
          <w:bCs/>
        </w:rPr>
        <w:t xml:space="preserve">Beyanın ortaya çıktığı koşullar:</w:t>
      </w:r>
      <w:r>
        <w:t xml:space="preserve"> [SEÇENEK — dosyanıza uyuyorsa kullanın: taraflar ya da aileleri arasında başka bir uyuşmazlık varsa] Şikâyet, taraflar arasındaki [boşanma / velayet / miras / iş ilişkisi] uyuşmazlığının [gg.aa....] tarihinde başlamasından sonra yapılmıştır. Bu husus mağdurun kişiliğine yönelik bir iddia değildir; şikâyetin hangi koşullarda ortaya çıktığının delillerle birlikte değerlendirilmesi için belirtilmektedir.</w:t>
      </w:r>
    </w:p>
    <w:p>
      <w:pPr>
        <w:jc w:val="both"/>
        <w:spacing w:after="120" w:line="276" w:lineRule="auto"/>
      </w:pPr>
      <w:r>
        <w:t xml:space="preserve">16. </w:t>
      </w:r>
      <w:r>
        <w:rPr>
          <w:b/>
          <w:bCs/>
        </w:rPr>
        <w:t xml:space="preserve">Ceza tayini ve hüküm seçenekleri:</w:t>
      </w:r>
      <w:r>
        <w:t xml:space="preserve"> Mahkûmiyet kanaatine varılırsa temel ceza, suçun işleniş biçimi ve kusurun ağırlığı birlikte değerlendirilerek alt sınırdan belirlenmelidir. Sanığın geçmişi ve yargılama boyunca gösterdiği tutum takdiri indirim nedenidir. [Sanık suç tarihinde 18 yaşından küçükse: yaş küçüklüğü indirimi uygulanmalıdır.] Eylem [sarkıntılık düzeyinde cinsel saldırı / TCK 104/1 / TCK 105] olarak nitelendirilir ve sonuç ceza iki yıl veya daha az olursa hükmün açıklanmasının geri bırakılması, bu mümkün görülmezse erteleme şartları sanık lehine oluşmaktadır [adli sicil kaydı ekte].</w:t>
      </w:r>
    </w:p>
    <w:p>
      <w:pPr>
        <w:jc w:val="both"/>
        <w:spacing w:after="120" w:line="276" w:lineRule="auto"/>
      </w:pPr>
      <w:r>
        <w:rPr>
          <w:b/>
          <w:bCs/>
        </w:rPr>
        <w:t xml:space="preserve">HUKUKİ NEDENLER:</w:t>
      </w:r>
      <w:r>
        <w:t xml:space="preserve"> TCK m.30, 31, 43, 51, 61, 62, 73, 102, 103, 104, 105; CMK m.75, 134, 148, 206, 207, 216, 217, 223, 226, 231, 236 ve ilgili mevzuat.</w:t>
      </w:r>
    </w:p>
    <w:p>
      <w:pPr>
        <w:jc w:val="both"/>
        <w:spacing w:after="120" w:line="276" w:lineRule="auto"/>
      </w:pPr>
      <w:r>
        <w:rPr>
          <w:b/>
          <w:bCs/>
        </w:rPr>
        <w:t xml:space="preserve">DELİLLER:</w:t>
      </w:r>
      <w:r>
        <w:t xml:space="preserve"> Dosya kapsamı, mağdurun [kolluk / savcılık / adli görüşme / duruşma] beyanları, adli görüşme görüntü kaydı ve tutanağı, [gg.aa....] tarihli adli tıp ve psikiyatri raporları, [dijital inceleme raporu], [uzman mütalaası], [HTS ve baz kayıtları], [tanık [...]], [nüfus kaydı], [adli sicil kaydı],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[adli görüşme kaydının izletilmesine / bilirkişinin duruşmada dinlenmesine / ATK'dan ek rapor alınmasına / tanık [...] dinlenmesine / HTS ve baz kayıtlarının getirtilmesine] ilişkin delil taleplerimizin kabulüne, [mütalaada suç vasfı değiştiyse: ek savunma için süre verilmesine],</w:t>
      </w:r>
    </w:p>
    <w:p>
      <w:pPr>
        <w:jc w:val="both"/>
        <w:spacing w:after="120" w:line="276" w:lineRule="auto"/>
      </w:pPr>
      <w:r>
        <w:t xml:space="preserve">2. </w:t>
      </w:r>
      <w:r>
        <w:t xml:space="preserve">Sanığın üzerine atılı suçtan, [suçun sanık tarafından işlendiği sabit olmadığından / kastı bulunmadığından / fiil suç oluşturmadığından] CMK 223/2 uyarınca BERAATİNE,</w:t>
      </w:r>
    </w:p>
    <w:p>
      <w:pPr>
        <w:jc w:val="both"/>
        <w:spacing w:after="120" w:line="276" w:lineRule="auto"/>
      </w:pPr>
      <w:r>
        <w:t xml:space="preserve">3. </w:t>
      </w:r>
      <w:r>
        <w:t xml:space="preserve">[Suç şikâyete bağlıysa ve şikâyet süresi geçmiş ya da şikâyetten vazgeçilmişse: davanın CMK 223/8 uyarınca DÜŞMESİNE],</w:t>
      </w:r>
    </w:p>
    <w:p>
      <w:pPr>
        <w:jc w:val="both"/>
        <w:spacing w:after="120" w:line="276" w:lineRule="auto"/>
      </w:pPr>
      <w:r>
        <w:t xml:space="preserve">4. </w:t>
      </w:r>
      <w:r>
        <w:t xml:space="preserve">Mahkemeniz aksi kanaatte ise, terditli olarak; mütalaada istenen [organ sokma / nitelikli hâl / zincirleme suç] artırımının uygulanmamasına, eylemin [TCK 103 yerine 104/1 / sarkıntılık düzeyinde 102/1 ikinci cümle veya 103/1 ikinci cümle / TCK 105] kapsamında değerlendirilmesine,</w:t>
      </w:r>
    </w:p>
    <w:p>
      <w:pPr>
        <w:jc w:val="both"/>
        <w:spacing w:after="120" w:line="276" w:lineRule="auto"/>
      </w:pPr>
      <w:r>
        <w:t xml:space="preserve">5. </w:t>
      </w:r>
      <w:r>
        <w:t xml:space="preserve">Temel cezanın alt sınırdan belirlenmesine, TCK 62 uyarınca takdiri indirim uygulanmasına, [sanık suç tarihinde çocuksa: TCK 31 uyarınca yaş indirimi yapılmasına],</w:t>
      </w:r>
    </w:p>
    <w:p>
      <w:pPr>
        <w:jc w:val="both"/>
        <w:spacing w:after="120" w:line="276" w:lineRule="auto"/>
      </w:pPr>
      <w:r>
        <w:t xml:space="preserve">6. </w:t>
      </w:r>
      <w:r>
        <w:t xml:space="preserve">Sonuç ceza iki yıl veya daha az olursa hükmün açıklanmasının geri bırakılmasına, bu mümkün görülmezse cezanın ertelenmesine,</w:t>
      </w:r>
    </w:p>
    <w:p>
      <w:pPr>
        <w:jc w:val="both"/>
        <w:spacing w:after="120" w:line="276" w:lineRule="auto"/>
      </w:pPr>
      <w:r>
        <w:t xml:space="preserve">7. </w:t>
      </w:r>
      <w:r>
        <w:t xml:space="preserve">[Sanık tutuklu ise: sanığın tahliyesine, gerekli görülürse adli kontrol tedbiri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[Uzman mütalaası (adli tıp / psikiyatri / bilişim)]</w:t>
      </w:r>
    </w:p>
    <w:p>
      <w:pPr>
        <w:jc w:val="both"/>
        <w:spacing w:after="120" w:line="276" w:lineRule="auto"/>
      </w:pPr>
      <w:r>
        <w:t xml:space="preserve">2. </w:t>
      </w:r>
      <w:r>
        <w:t xml:space="preserve">[Beyan çelişkilerini gösteren tutanak sayfalarının listesi]</w:t>
      </w:r>
    </w:p>
    <w:p>
      <w:pPr>
        <w:jc w:val="both"/>
        <w:spacing w:after="120" w:line="276" w:lineRule="auto"/>
      </w:pPr>
      <w:r>
        <w:t xml:space="preserve">3. </w:t>
      </w:r>
      <w:r>
        <w:t xml:space="preserve">[Yaş konusundaki belgeler: sosyal medya profili, mesaj, tanışma yerine ilişkin kayıt]</w:t>
      </w:r>
    </w:p>
    <w:p>
      <w:pPr>
        <w:jc w:val="both"/>
        <w:spacing w:after="120" w:line="276" w:lineRule="auto"/>
      </w:pPr>
      <w:r>
        <w:t xml:space="preserve">4. </w:t>
      </w:r>
      <w:r>
        <w:t xml:space="preserve">[Adli sicil kaydı ve iş,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