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[tutuklu ise: bulunduğu ceza infaz kurumu]</w:t>
      </w:r>
    </w:p>
    <w:p>
      <w:pPr>
        <w:jc w:val="both"/>
        <w:spacing w:after="120" w:line="276" w:lineRule="auto"/>
      </w:pPr>
      <w:r>
        <w:t xml:space="preserve">[varsa: MÜDAFİİ: Av. Ad Soyad]</w:t>
      </w:r>
    </w:p>
    <w:p>
      <w:pPr>
        <w:jc w:val="both"/>
        <w:spacing w:after="120" w:line="276" w:lineRule="auto"/>
      </w:pPr>
      <w:r>
        <w:rPr>
          <w:b/>
          <w:bCs/>
        </w:rPr>
        <w:t xml:space="preserve">MAKTUL / MAĞDUR:</w:t>
      </w:r>
      <w:r>
        <w:t xml:space="preserve"> [Ad Soyad]</w:t>
      </w:r>
    </w:p>
    <w:p>
      <w:pPr>
        <w:jc w:val="both"/>
        <w:spacing w:after="120" w:line="276" w:lineRule="auto"/>
      </w:pPr>
      <w:r>
        <w:rPr>
          <w:b/>
          <w:bCs/>
        </w:rPr>
        <w:t xml:space="preserve">SUÇ:</w:t>
      </w:r>
      <w:r>
        <w:t xml:space="preserve"> [Kasten öldürme (TCK 81/1) / nitelikli kasten öldürme (TCK 82/1-…) / kasten öldürmeye teşebbüs (TCK 81/1 ve 35)]</w:t>
      </w:r>
    </w:p>
    <w:p>
      <w:pPr>
        <w:jc w:val="both"/>
        <w:spacing w:after="120" w:line="276" w:lineRule="auto"/>
      </w:pPr>
      <w:r>
        <w:rPr>
          <w:b/>
          <w:bCs/>
        </w:rPr>
        <w:t xml:space="preserve">MÜTALAA:</w:t>
      </w:r>
      <w:r>
        <w:t xml:space="preserve"> [gg.aa.2026] tarihli oturumda açıklanan esas hakkındaki mütalaa</w:t>
      </w:r>
    </w:p>
    <w:p>
      <w:pPr>
        <w:jc w:val="both"/>
        <w:spacing w:after="120" w:line="276" w:lineRule="auto"/>
      </w:pPr>
      <w:r>
        <w:rPr>
          <w:b/>
          <w:bCs/>
        </w:rPr>
        <w:t xml:space="preserve">KONU:</w:t>
      </w:r>
      <w:r>
        <w:t xml:space="preserve"> Kasten öldürme ve teşebbüs suçlamasına ilişkin mütalaaya karşı savunmamızın; kastın türü, suçun nitelendirilmesi, delil eksiklikleri ve ceza tayini hakkındaki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Olay ve mütalaadaki istem:</w:t>
      </w:r>
      <w:r>
        <w:t xml:space="preserve"> [gg.aa.yyyy] günü saat [..:..] sıralarında [olay yeri] önünde sanık ile [maktul / mağdur] arasında [tartışmanın konusu] nedeniyle başlayan olayda [mağdur hayatını kaybetmiş / mağdur yaralanmıştır]. Cumhuriyet savcısı, sanığın [TCK 81/1 / TCK 82/1-(…) / TCK 81/1 ve 35] uyarınca [müebbet / ağırlaştırılmış müebbet / … yıl] hapis cezası ile cezalandırılmasını istemiştir. Mütalaa öldürme kastını yalnız [yaranın yeri / kullanılan aletin türü / darbe sayısı] üzerinden kabul etmiş; olayın nasıl başladığını, tarafların önceki ilişkisini ve sanığın olaydan hemen sonraki davranışını hiç tartışmamıştır.</w:t>
      </w:r>
    </w:p>
    <w:p>
      <w:pPr>
        <w:jc w:val="both"/>
        <w:spacing w:after="120" w:line="276" w:lineRule="auto"/>
      </w:pPr>
      <w:r>
        <w:t xml:space="preserve">2. </w:t>
      </w:r>
      <w:r>
        <w:rPr>
          <w:b/>
          <w:bCs/>
        </w:rPr>
        <w:t xml:space="preserve">Suçun unsurları dosyada ispatlanmamıştır:</w:t>
      </w:r>
      <w:r>
        <w:t xml:space="preserve"> TCK 81/1 bakımından üç unsurun birlikte ve şüpheye yer bırakmayacak biçimde ortaya konması gerekir. Birincisi hareket: [olay anını gören tarafsız tanık yoktur / tanık [Ad Soyad] olayın başlangıcını görmediğini açıkça söylemiştir]. İkincisi netice ve illiyet bağı: otopsi raporu ölüm sebebini [……] olarak göstermiş, fakat [yaralanma ile ölüm arasında geçen … gün / hastanede gelişen komplikasyon / maktulün önceden var olan hastalığı] yönünden bir değerlendirme yapmamıştır. Üçüncüsü manevi unsur: dosyada sanığın öldürme kararı verdiğini gösteren somut bir delil bulunmamaktadır. Kastın yalnız sonuca bakılarak kabul edilmesi, TCK 21/1'deki "bilerek ve isteyerek" şartını anlamsız kılar.</w:t>
      </w:r>
    </w:p>
    <w:p>
      <w:pPr>
        <w:jc w:val="both"/>
        <w:spacing w:after="120" w:line="276" w:lineRule="auto"/>
      </w:pPr>
      <w:r>
        <w:t xml:space="preserve">3. </w:t>
      </w:r>
      <w:r>
        <w:t xml:space="preserve">[SEÇENEK — dosyanıza uyuyorsa kullanın: teşebbüs iddiasına karşı kasten yaralamaya nitelendirme] </w:t>
      </w:r>
      <w:r>
        <w:rPr>
          <w:b/>
          <w:bCs/>
        </w:rPr>
        <w:t xml:space="preserve">Öldürmeye teşebbüs değil, kasten yaralama:</w:t>
      </w:r>
      <w:r>
        <w:t xml:space="preserve"> Teşebbüs, failin öldürmeyi kastetmesini ve bu kastı elverişli hareketlerle doğrudan icraya dökmesini gerektirir (TCK 35/1). Yargıtay'ın yerleşik uygulamasında bu ayrım; aletin niteliği, darbe sayısı ve şiddeti, hedef alınan bölge, failin eylemine devam etme imkânı varken devam edip etmediği, taraflar arasındaki önceki ilişki ve olay sonrası davranış birlikte değerlendirilerek yapılır. Dosyamızda [tek darbe vurulmuştur / darbe bacak veya kol gibi hayati olmayan bir bölgeye yönelmiştir / sanık ikinci kez vurma imkânı varken olay yerinden kendiliğinden ayrılmıştır / sanık mağduru hastaneye kendisi götürmüştür]. Adli raporda yaralanma [basit tıbbi müdahaleyle giderilebilir / hayati tehlike oluşturmayan] düzeyde gösterilmiştir. Bu tablo öldürme kastını değil yaralama kastını gösterir; eylem TCK 86 ve varsa TCK 87 kapsamında değerlendirilmelidir.</w:t>
      </w:r>
    </w:p>
    <w:p>
      <w:pPr>
        <w:jc w:val="both"/>
        <w:spacing w:after="120" w:line="276" w:lineRule="auto"/>
      </w:pPr>
      <w:r>
        <w:t xml:space="preserve">4. </w:t>
      </w:r>
      <w:r>
        <w:t xml:space="preserve">[SEÇENEK — ölüm gerçekleşmiş ve kast tartışmalıysa: TCK 87/4'e nitelendirme] </w:t>
      </w:r>
      <w:r>
        <w:rPr>
          <w:b/>
          <w:bCs/>
        </w:rPr>
        <w:t xml:space="preserve">Kasten yaralama sonucu ölüm:</w:t>
      </w:r>
      <w:r>
        <w:t xml:space="preserve"> Sanığın amacı mağdura acı vermek ya da onu yaralamaktır; ölüm, bu amacı aşan bir netice olarak meydana gelmiştir. [Tek yumruk sonrası düşen maktulün başını kaldırıma çarpması / bacağa yönelen tek darbenin atardamarı kesmesi] gibi bir olayda ölüm, sanık bakımından ancak taksir derecesinde öngörülebilir bir sonuçtur. Ölüm bakımından sanığın kastı değil en fazla taksiri bulunduğundan ve TCK 23 ağır neticeden sorumluluk için en azından taksir aradığından, uygulanacak hüküm TCK 81 değil, TCK 87/4'tür.</w:t>
      </w:r>
    </w:p>
    <w:p>
      <w:pPr>
        <w:jc w:val="both"/>
        <w:spacing w:after="120" w:line="276" w:lineRule="auto"/>
      </w:pPr>
      <w:r>
        <w:t xml:space="preserve">5. </w:t>
      </w:r>
      <w:r>
        <w:t xml:space="preserve">[SEÇENEK — mütalaa doğrudan kast kabul etmişse: olası kast] </w:t>
      </w:r>
      <w:r>
        <w:rPr>
          <w:b/>
          <w:bCs/>
        </w:rPr>
        <w:t xml:space="preserve">Olası kast:</w:t>
      </w:r>
      <w:r>
        <w:t xml:space="preserve"> Doğrudan kast ölümün istenmesini gerektirir. Sanığın [kalabalığa doğru rastgele ateş etmesi / aracı insanların bulunduğu yöne sürmesi] gibi bir davranışta ölüm, en fazla öngörülen ve göze alınan bir sonuçtur. Bu hâlde TCK 21/2 uyarınca müebbet hapis yerine yirmi yıldan yirmi beş yıla kadar hapis cezasına hükmolunur. Yargıtay'ın yerleşik uygulamasına göre olası kastla teşebbüs mümkün değildir; ölüm gerçekleşmemişse eylem, meydana gelen yaralanmaya göre olası kastla kasten yaralama olarak nitelendirilmelidir.</w:t>
      </w:r>
    </w:p>
    <w:p>
      <w:pPr>
        <w:jc w:val="both"/>
        <w:spacing w:after="120" w:line="276" w:lineRule="auto"/>
      </w:pPr>
      <w:r>
        <w:t xml:space="preserve">6. </w:t>
      </w:r>
      <w:r>
        <w:t xml:space="preserve">[SEÇENEK — mütalaada TCK 82 istenmişse: nitelikli hâllere itiraz] </w:t>
      </w:r>
      <w:r>
        <w:rPr>
          <w:b/>
          <w:bCs/>
        </w:rPr>
        <w:t xml:space="preserve">Nitelikli hâller ayrıca ispat edilmemiştir:</w:t>
      </w:r>
      <w:r>
        <w:t xml:space="preserve"> Mütalaada [TCK 82/1-a tasarlama / b canavarca his veya eziyet / d eşe, üstsoya, altsoya ya da kardeşe karşı / e kendini savunamayacak kişiye karşı / h suçu gizleme amacı] kabul edilmiştir. Tasarlama için öldürme kararının olaydan makul bir süre önce alınması, bu kararda sebat edilmesi ve fiilin önceden kurulmuş bir planla işlenmesi gerekir; dosyada ise sanığın [olay yerine başka bir amaçla geldiğini / aleti olay yerinde bulduğunu / tartışmanın anlık başladığını] gösteren [kamera kaydı / tanık beyanı] vardır. Eziyet için öldürmeye yetecek hareketin ötesinde mağdura bilerek acı çektirme amacı aranır; yara sayısının fazlalığı tek başına bu amacı göstermez. Mağdurun kendini savunamayacak durumda olduğu [yaşı / sağlık durumu] bakımından somut olarak tespit edilmemiştir. Nitelikli hâl iddianamede gösterilmemişse CMK 226/1 uyarınca ek savunma hakkı tanınmadan bu hâlle hüküm kurulamaz.</w:t>
      </w:r>
    </w:p>
    <w:p>
      <w:pPr>
        <w:jc w:val="both"/>
        <w:spacing w:after="120" w:line="276" w:lineRule="auto"/>
      </w:pPr>
      <w:r>
        <w:t xml:space="preserve">7. </w:t>
      </w:r>
      <w:r>
        <w:t xml:space="preserve">[SEÇENEK — haksız tahrik] </w:t>
      </w:r>
      <w:r>
        <w:rPr>
          <w:b/>
          <w:bCs/>
        </w:rPr>
        <w:t xml:space="preserve">Haksız tahrik:</w:t>
      </w:r>
      <w:r>
        <w:t xml:space="preserve"> Olay, [maktulün / mağdurun] [sanığın eşine sarkıntılık etmesi / sanığa önce saldırması / sanığın evine zorla girmesi] ile başlamıştır. Bu haksız fiil [tanık … / kamera kaydı / mağdurun kendi ifadesi] ile sabittir. Sanık, bu fiilin yarattığı hiddet ya da şiddetli elem altında ve aradan zaman geçmeden hareket etmiştir. TCK 29 uyarınca müebbet hapis yerine on iki yıldan on sekiz yıla, ağırlaştırılmış müebbet yerine on sekiz yıldan yirmi dört yıla kadar hapis verilmeli; teşebbüs gibi diğer hâllerde ise ceza dörtte birden dörtte üçe kadar indirilmelidir. Haksız fiilin ağırlığı gözetilerek indirim üst orandan uygulanmalıdır. İlk haksız hareketin kimden geldiği belirlenemiyorsa şüpheden sanık yararlanır ve indirim en azından asgari oranda uygulanır.</w:t>
      </w:r>
    </w:p>
    <w:p>
      <w:pPr>
        <w:jc w:val="both"/>
        <w:spacing w:after="120" w:line="276" w:lineRule="auto"/>
      </w:pPr>
      <w:r>
        <w:t xml:space="preserve">8. </w:t>
      </w:r>
      <w:r>
        <w:t xml:space="preserve">[SEÇENEK — meşru savunma veya sınırın aşılması] </w:t>
      </w:r>
      <w:r>
        <w:rPr>
          <w:b/>
          <w:bCs/>
        </w:rPr>
        <w:t xml:space="preserve">Meşru savunma:</w:t>
      </w:r>
      <w:r>
        <w:t xml:space="preserve"> Sanık, [mağdurun elindeki bıçakla üzerine yürümesi / birden fazla kişinin aynı anda saldırması] karşısında kendisini korumak için hareket etmiştir. Saldırı haksızdır ve o anda gerçekleşmektedir; sanığın [dar bir alanda sıkışmış olması / yere düşmüş olması] nedeniyle kaçma ya da başka bir yolla korunma imkânı yoktur. Savunma, saldırının ağırlığı ve kullanılan araçla orantılıdır. TCK 25/1 uyarınca ceza verilemez ve CMK 223/2-d gereği beraat kararı verilmelidir. Mahkemeniz savunmanın ölçüyü aştığı kanaatine varırsa, aşma mazur görülebilecek bir heyecan, korku ya da telaştan doğduğu için TCK 27/2 ve CMK 223/3-c uyarınca ceza verilmesine yer olmadığına karar verilmelidir. Sınır başka bir nedenle kast olmaksızın aşılmışsa TCK 27/1 gereği taksirli suçun [ölümde TCK 85, yaralanmada TCK 89] cezasından altıda birden üçte bire kadar indirim yapılarak hüküm kurulmalıdır.</w:t>
      </w:r>
    </w:p>
    <w:p>
      <w:pPr>
        <w:jc w:val="both"/>
        <w:spacing w:after="120" w:line="276" w:lineRule="auto"/>
      </w:pPr>
      <w:r>
        <w:t xml:space="preserve">9. </w:t>
      </w:r>
      <w:r>
        <w:t xml:space="preserve">[SEÇENEK — gönüllü vazgeçme] </w:t>
      </w:r>
      <w:r>
        <w:rPr>
          <w:b/>
          <w:bCs/>
        </w:rPr>
        <w:t xml:space="preserve">Gönüllü vazgeçme:</w:t>
      </w:r>
      <w:r>
        <w:t xml:space="preserve"> Sanık, [ikinci kez vurma / ateş etmeye devam etme] imkânı varken kendi iradesiyle eylemine son vermiş [ve ambulans çağırarak / mağduru hastaneye götürerek] neticenin gerçekleşmesini önlemiştir. Bu vazgeçme dışarıdan bir engel ya da yakalanma korkusuyla değil, sanığın kendi kararıyla olmuştur [tanık … / 112 çağrı kaydı]. TCK 36 uyarınca sanık teşebbüsten dolayı cezalandırılamaz; yalnız tamam olan kısım, yani meydana gelen yaralanma nedeniyle TCK 86 [ve 87] kapsamında sorumlu tutulabilir.</w:t>
      </w:r>
    </w:p>
    <w:p>
      <w:pPr>
        <w:jc w:val="both"/>
        <w:spacing w:after="120" w:line="276" w:lineRule="auto"/>
      </w:pPr>
      <w:r>
        <w:t xml:space="preserve">10. </w:t>
      </w:r>
      <w:r>
        <w:rPr>
          <w:b/>
          <w:bCs/>
        </w:rPr>
        <w:t xml:space="preserve">Otopsi ve adli tıp raporlarına itiraz:</w:t>
      </w:r>
      <w:r>
        <w:t xml:space="preserve"> Hükme esas alınması istenen [otopsi raporu / ATK … İhtisas Dairesi raporu]; [ölüm sebebi ile yaralanma arasındaki illiyeti / atış mesafesini / yaraların hangi sırayla ve hangi aletle oluştuğunu / hayati tehlike tespitinin dayanağını] açıklamamıştır. [Mağdurun hastanede … gün sonra ölmesi ve bu sürede … gelişmesi, illiyet bağının kesilip kesilmediği yönünden ayrıca incelenmelidir.] Ekte sunulan uzman görüşü (CMK 67/6) bu eksiklikleri göstermektedir. Raporu düzenleyen bilirkişinin duruşmada dinlenmesi (CMK 68/1) ve [ATK ilgili ihtisas dairesinden / Genel Kurulundan] ek rapor alınması gerekir.</w:t>
      </w:r>
    </w:p>
    <w:p>
      <w:pPr>
        <w:jc w:val="both"/>
        <w:spacing w:after="120" w:line="276" w:lineRule="auto"/>
      </w:pPr>
      <w:r>
        <w:t xml:space="preserve">11. </w:t>
      </w:r>
      <w:r>
        <w:rPr>
          <w:b/>
          <w:bCs/>
        </w:rPr>
        <w:t xml:space="preserve">Olay yeri, keşif ve teknik deliller:</w:t>
      </w:r>
      <w:r>
        <w:t xml:space="preserve"> Olayın nasıl başladığı ve sanığın hangi konumda bulunduğu, [olay yerindeki kamera kayıtları / balistik inceleme / kan izlerinin dağılımı] ile belirlenebilecekken bu deliller ya toplanmamış ya da eksik incelenmiştir. [… adresindeki işyerinin kamera kaydı istenmemiştir / mahkemece olay yerinde keşif yapılmamıştır.] Tanıkların bulundukları noktadan olayı görüp göremedikleri keşifle tespit edilmeden beyanları hükme esas alınamaz. Bu delillerin toplanmasını istiyoruz; talep geç bildirildiği gerekçesiyle reddedilemez (CMK 207/1).</w:t>
      </w:r>
    </w:p>
    <w:p>
      <w:pPr>
        <w:jc w:val="both"/>
        <w:spacing w:after="120" w:line="276" w:lineRule="auto"/>
      </w:pPr>
      <w:r>
        <w:t xml:space="preserve">12. </w:t>
      </w:r>
      <w:r>
        <w:rPr>
          <w:b/>
          <w:bCs/>
        </w:rPr>
        <w:t xml:space="preserve">Usule aykırı deliller:</w:t>
      </w:r>
      <w:r>
        <w:t xml:space="preserve"> [Sanığın kolluk ifadesi müdafi hazır bulunmaksızın alınmış ve sanık bunu hâkim huzurunda doğrulamamıştır; CMK 148/4 gereği bu ifade hükme esas alınamaz.] [Olay aletinin ele geçirildiği arama, hâkim kararı ya da yazılı emir olmaksızın yapılmıştır; bu yolla elde edilen delil hukuka aykırıdır (CMK 206/2-a, 217/2).] [Tanık teşhisi sanığın tek başına gösterilmesiyle yapılmış, usulüne uygun bir teşhis işlemi kurulmamıştır.]</w:t>
      </w:r>
    </w:p>
    <w:p>
      <w:pPr>
        <w:jc w:val="both"/>
        <w:spacing w:after="120" w:line="276" w:lineRule="auto"/>
      </w:pPr>
      <w:r>
        <w:t xml:space="preserve">13. </w:t>
      </w:r>
      <w:r>
        <w:rPr>
          <w:b/>
          <w:bCs/>
        </w:rPr>
        <w:t xml:space="preserve">Tanık beyanlarındaki çelişkiler:</w:t>
      </w:r>
      <w:r>
        <w:t xml:space="preserve"> Mütalaanın dayandığı tanık [Ad Soyad], [gg.aa.yyyy] tarihli kolluk ifadesinde [sanığın aleti yerden aldığını] söylerken [gg.aa.2026] tarihli duruşmada [aletin sanığın üzerinden çıktığını] anlatmıştır (tutanak sayfa [..]). Tanığın maktul veya mağdurla [akrabalık / husumet] ilişkisi de gözetilmelidir. Kendi içinde çelişen ve başka bir delille desteklenmeyen anlatım, öldürme kastını ispata yetmez.</w:t>
      </w:r>
    </w:p>
    <w:p>
      <w:pPr>
        <w:jc w:val="both"/>
        <w:spacing w:after="120" w:line="276" w:lineRule="auto"/>
      </w:pPr>
      <w:r>
        <w:t xml:space="preserve">14. </w:t>
      </w:r>
      <w:r>
        <w:rPr>
          <w:b/>
          <w:bCs/>
        </w:rPr>
        <w:t xml:space="preserve">Ceza tayini:</w:t>
      </w:r>
      <w:r>
        <w:t xml:space="preserve"> Mahkûmiyet kanaatine ulaşılırsa TCK 61'deki ölçütler (işleniş biçimi, kullanılan araç, zarar ve tehlikenin ağırlığı, kusurun derecesi) temel cezanın alt sınırdan belirlenmesini gerektirir. Teşebbüs hâlinde meydana gelen zarar [kısa süreli tedavi / hayati tehlikesiz yaralanma] düzeyinde kaldığından TCK 35/2'deki aralığın alt sınırı esas alınmalıdır. Sanığın sabıkasız oluşu, olay sonrası [kendiliğinden teslim olması / mağdura yardım etmesi], yargılama boyunca tutumu ve pişmanlığı TCK 62 uyarınca takdiri indirim nedenidir. [Sanık suç tarihinde 18 yaşından küçükse TCK 31 indirimi; akıl sağlığı yönünden şüphe varsa TCK 32 bakımından ATK incelemesi istenmelidir.]</w:t>
      </w:r>
    </w:p>
    <w:p>
      <w:pPr>
        <w:jc w:val="both"/>
        <w:spacing w:after="120" w:line="276" w:lineRule="auto"/>
      </w:pPr>
      <w:r>
        <w:rPr>
          <w:b/>
          <w:bCs/>
        </w:rPr>
        <w:t xml:space="preserve">HUKUKİ NEDENLER:</w:t>
      </w:r>
      <w:r>
        <w:t xml:space="preserve"> TCK m.21, 22, 23, 25, 27, 29, 35, 36, 61, 62, 81, 82, 86, 87; CMK m.67, 68, 148, 206, 207, 216, 217, 223, 225, 226, 230 ve ilgili mevzuat.</w:t>
      </w:r>
    </w:p>
    <w:p>
      <w:pPr>
        <w:jc w:val="both"/>
        <w:spacing w:after="120" w:line="276" w:lineRule="auto"/>
      </w:pPr>
      <w:r>
        <w:rPr>
          <w:b/>
          <w:bCs/>
        </w:rPr>
        <w:t xml:space="preserve">DELİLLER:</w:t>
      </w:r>
      <w:r>
        <w:t xml:space="preserve"> Otopsi raporu, adli tıp raporları, olay yeri inceleme raporu ve krokisi, [kamera kayıtları], [balistik veya kriminal inceleme raporu], [112 çağrı kaydı], [HTS kayıtları], tanık beyanları, duruşma tutanakları, [uzman görüşü], [keşif], [varsa emsal karar künyesi].</w:t>
      </w:r>
    </w:p>
    <w:p>
      <w:pPr>
        <w:jc w:val="both"/>
        <w:spacing w:after="120" w:line="276" w:lineRule="auto"/>
      </w:pPr>
      <w:r>
        <w:rPr>
          <w:b/>
          <w:bCs/>
        </w:rPr>
        <w:t xml:space="preserve">SONUÇ VE İSTEM:</w:t>
      </w:r>
      <w:r>
        <w:t xml:space="preserve"> Açıkladığımız nedenlerle;</w:t>
      </w:r>
    </w:p>
    <w:p>
      <w:pPr>
        <w:jc w:val="both"/>
        <w:spacing w:after="120" w:line="276" w:lineRule="auto"/>
      </w:pPr>
      <w:r>
        <w:t xml:space="preserve">1. </w:t>
      </w:r>
      <w:r>
        <w:t xml:space="preserve">Öncelikle [kamera kayıtlarının getirtilmesine / olay yerinde keşif yapılmasına / bilirkişinin duruşmada dinlenmesine / ATK'dan ek rapor alınmasına]; [mütalaada iddianamede bulunmayan bir nitelikli hâl ileri sürüldüyse: ek savunma için süre verilmesine],</w:t>
      </w:r>
    </w:p>
    <w:p>
      <w:pPr>
        <w:jc w:val="both"/>
        <w:spacing w:after="120" w:line="276" w:lineRule="auto"/>
      </w:pPr>
      <w:r>
        <w:t xml:space="preserve">2. </w:t>
      </w:r>
      <w:r>
        <w:t xml:space="preserve">Atılı suçun sanık tarafından işlendiği sabit olmadığından CMK 223/2-e, meşru savunma koşulları bulunduğundan CMK 223/2-d uyarınca sanığın BERAATİNE; sınırın mazur görülebilir heyecanla aşıldığı kabul edilirse CMK 223/3-c uyarınca CEZA VERİLMESİNE YER OLMADIĞINA,</w:t>
      </w:r>
    </w:p>
    <w:p>
      <w:pPr>
        <w:jc w:val="both"/>
        <w:spacing w:after="120" w:line="276" w:lineRule="auto"/>
      </w:pPr>
      <w:r>
        <w:t xml:space="preserve">3. </w:t>
      </w:r>
      <w:r>
        <w:t xml:space="preserve">Bu talebimiz kabul görmezse terditli olarak; eylemin [kasten yaralama (TCK 86, 87) / kasten yaralama sonucu ölüm (TCK 87/4) / olası kastla öldürme (TCK 21/2)] olarak nitelendirilmesine, gönüllü vazgeçme bulunduğundan teşebbüsten ceza verilmemesine, TCK 82'deki nitelikli hâllerin uygulanmamasına,</w:t>
      </w:r>
    </w:p>
    <w:p>
      <w:pPr>
        <w:jc w:val="both"/>
        <w:spacing w:after="120" w:line="276" w:lineRule="auto"/>
      </w:pPr>
      <w:r>
        <w:t xml:space="preserve">4. </w:t>
      </w:r>
      <w:r>
        <w:t xml:space="preserve">Her hâlde temel cezanın alt sınırdan belirlenmesine, haksız tahrik indiriminin (TCK 29) üst orandan ve takdiri indirimin (TCK 62) uygulanmasına; nitelendirme değişir ve sonuç ceza iki yıl veya daha az olursa hükmün açıklanmasının geri bırakılmasına, bu mümkün görülmezse cezanın ertelenmesine,</w:t>
      </w:r>
    </w:p>
    <w:p>
      <w:pPr>
        <w:jc w:val="both"/>
        <w:spacing w:after="120" w:line="276" w:lineRule="auto"/>
      </w:pPr>
      <w:r>
        <w:t xml:space="preserve">5. </w:t>
      </w:r>
      <w:r>
        <w:t xml:space="preserve">Sanık tutuklu ise tahliyesine, gerekirse adli kontrol tedbiri uygulanmasına,</w:t>
      </w:r>
    </w:p>
    <w:p>
      <w:pPr>
        <w:jc w:val="both"/>
        <w:spacing w:after="120" w:line="276" w:lineRule="auto"/>
      </w:pPr>
      <w:r>
        <w:t xml:space="preserve">karar verilmesini saygıyla arz ve talep ederiz.</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[Uzman görüşü (adli tıp uzmanı)]</w:t>
      </w:r>
    </w:p>
    <w:p>
      <w:pPr>
        <w:jc w:val="both"/>
        <w:spacing w:after="120" w:line="276" w:lineRule="auto"/>
      </w:pPr>
      <w:r>
        <w:t xml:space="preserve">2. </w:t>
      </w:r>
      <w:r>
        <w:t xml:space="preserve">[Kamera kaydı tespit tutanağı veya görüntü dökümü]</w:t>
      </w:r>
    </w:p>
    <w:p>
      <w:pPr>
        <w:jc w:val="both"/>
        <w:spacing w:after="120" w:line="276" w:lineRule="auto"/>
      </w:pPr>
      <w:r>
        <w:t xml:space="preserve">3. </w:t>
      </w:r>
      <w:r>
        <w:t xml:space="preserve">[Olay yeri fotoğrafları ve krokisi]</w:t>
      </w:r>
    </w:p>
    <w:p>
      <w:pPr>
        <w:jc w:val="both"/>
        <w:spacing w:after="120" w:line="276" w:lineRule="auto"/>
      </w:pPr>
      <w:r>
        <w:t xml:space="preserve">4. </w:t>
      </w:r>
      <w:r>
        <w:t xml:space="preserve">[Adli sicil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