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 BAŞKANLIĞINA</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 [tutukluysa: Halen [kurum adı] Ceza İnfaz Kurumunda tutuklu]</w:t>
      </w:r>
    </w:p>
    <w:p>
      <w:pPr>
        <w:jc w:val="both"/>
        <w:spacing w:after="120" w:line="276" w:lineRule="auto"/>
      </w:pPr>
      <w:r>
        <w:t xml:space="preserve">[varsa: MÜDAFİİ: Av. Ad Soyad]</w:t>
      </w:r>
    </w:p>
    <w:p>
      <w:pPr>
        <w:jc w:val="both"/>
        <w:spacing w:after="120" w:line="276" w:lineRule="auto"/>
      </w:pPr>
      <w:r>
        <w:rPr>
          <w:b/>
          <w:bCs/>
        </w:rPr>
        <w:t xml:space="preserve">SUÇ:</w:t>
      </w:r>
      <w:r>
        <w:t xml:space="preserve"> Uyuşturucu veya uyarıcı madde ticareti (TCK m.188/3 [mütalaada varsa: 188/4-a, 188/4-b, 188/5])</w:t>
      </w:r>
    </w:p>
    <w:p>
      <w:pPr>
        <w:jc w:val="both"/>
        <w:spacing w:after="120" w:line="276" w:lineRule="auto"/>
      </w:pPr>
      <w:r>
        <w:rPr>
          <w:b/>
          <w:bCs/>
        </w:rPr>
        <w:t xml:space="preserve">MÜTALAA:</w:t>
      </w:r>
      <w:r>
        <w:t xml:space="preserve"> Cumhuriyet savcısının [gg.aa.2026] tarihli oturumda [sözlü / yazılı] açıkladığı esas hakkındaki mütalaa</w:t>
      </w:r>
    </w:p>
    <w:p>
      <w:pPr>
        <w:jc w:val="both"/>
        <w:spacing w:after="120" w:line="276" w:lineRule="auto"/>
      </w:pPr>
      <w:r>
        <w:rPr>
          <w:b/>
          <w:bCs/>
        </w:rPr>
        <w:t xml:space="preserve">KONU:</w:t>
      </w:r>
      <w:r>
        <w:t xml:space="preserve"> Esas hakkındaki mütalaaya karşı savunmalarımızın, hukuka aykırı delillere ilişkin itirazlarımızın, delil taleplerimizin ve terditli hüküm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özeti:</w:t>
      </w:r>
      <w:r>
        <w:t xml:space="preserve"> Cumhuriyet savcısı, [gg.aa.20..] tarihinde [konutta / araçta / üst aramasında] ele geçirilen [madde türü] nedeniyle sanığın TCK 188/3 [ve 188/4-a / 188/4-b / 188/5] uyarınca cezalandırılmasını istemiştir. Mütalaa; [ele geçen miktar], [paketleme biçimi], [hassas terazi / nakit para], [iletişim kayıtları] ve [tanık ya da alıcı beyanı] olmak üzere [sayı] delile dayanmaktadır. Aşağıda bu delillerin her birinin neyi ispat ettiği, neyi ispat etmediği ayrı ayrı tartışılmıştır. [Mütalaada iddianamede bulunmayan bir nitelikli hâl ileri sürüldüyse: Bu nitelendirme için CMK 226/1 uyarınca ek savunma hakkı tanınmasını ve CMK 226/3 uyarınca süre verilmesini talep ediyoruz.]</w:t>
      </w:r>
    </w:p>
    <w:p>
      <w:pPr>
        <w:jc w:val="both"/>
        <w:spacing w:after="120" w:line="276" w:lineRule="auto"/>
      </w:pPr>
      <w:r>
        <w:t xml:space="preserve">2. </w:t>
      </w:r>
      <w:r>
        <w:rPr>
          <w:b/>
          <w:bCs/>
        </w:rPr>
        <w:t xml:space="preserve">Suçun konusu, maddenin niteliği ve miktarı:</w:t>
      </w:r>
      <w:r>
        <w:t xml:space="preserve"> TCK 188/3'ün ilk unsuru, ele geçen maddenin uyuşturucu veya uyarıcı madde olmasıdır. Bu unsur ancak laboratuvarda yapılan kimyasal analizle kesinleşir; olay yerinde yapılan saha testi yalnız bir şüphe aracıdır. Dosyadaki [gg.aa.20..] tarihli [Adli Tıp Kurumu / kriminal laboratuvar] raporunda [net ... gram], [... paket] tespit edilmiştir. [Raporda eksiklik varsa: Rapor ambalajlı brüt ağırlığı vermekte / her paketin ayrı ağırlığını göstermemekte / tartımın kimin huzurunda yapıldığını belirtmemektedir.] Bu nedenle ticaret iddiasının temelini oluşturan miktar güvenilir biçimde belirlenmemiştir. El koyma tutanağı, mühür numaraları ve laboratuvara teslim tutanağı arasındaki zincir [şu noktada kopuktur: ...]; ele geçen madde ile incelenen maddenin aynı olduğu şüpheye açıktır.</w:t>
      </w:r>
    </w:p>
    <w:p>
      <w:pPr>
        <w:jc w:val="both"/>
        <w:spacing w:after="120" w:line="276" w:lineRule="auto"/>
      </w:pPr>
      <w:r>
        <w:t xml:space="preserve">3. </w:t>
      </w:r>
      <w:r>
        <w:rPr>
          <w:b/>
          <w:bCs/>
        </w:rPr>
        <w:t xml:space="preserve">Hareket unsuru ve ticaret amacı:</w:t>
      </w:r>
      <w:r>
        <w:t xml:space="preserve"> TCK 188/3'te sayılan satın alma, kabul etme ve bulundurma fiilleri, kullanmak amacıyla yapıldığında TCK 191/1'in konusudur. İki madde arasındaki fark, maddenin kimin için ve hangi amaçla elde tutulduğudur ve bu amacı ispat yükü iddia makamındadır. Dosyada sanığın bir başkasına madde sattığını, satışa arz ettiğini ya da verdiğini gösteren [tespit edilmiş alıcı, para transferi, satış konuşması, kamera görüntüsü] bulunmamaktadır. Mütalaada ticaret amacı yalnız [miktar / paketleme / terazi] üzerinden çıkarılmıştır. Bu bir çıkarımdır, ispat değildir; şüpheden sanık yararlanır.</w:t>
      </w:r>
    </w:p>
    <w:p>
      <w:pPr>
        <w:jc w:val="both"/>
        <w:spacing w:after="120" w:line="276" w:lineRule="auto"/>
      </w:pPr>
      <w:r>
        <w:t xml:space="preserve">4. </w:t>
      </w:r>
      <w:r>
        <w:rPr>
          <w:b/>
          <w:bCs/>
        </w:rPr>
        <w:t xml:space="preserve">Manevi unsur:</w:t>
      </w:r>
      <w:r>
        <w:t xml:space="preserve"> Suç ancak kastla işlenebilir; kast, kanuni tanımdaki unsurların bilerek ve istenerek gerçekleştirilmesidir (TCK 21/1). [SEÇENEK - dosyanıza uyuyorsa kullanın: madde sanığın tek başına kullanmadığı bir yerde bulunduysa] Madde, [aile üyelerinin de kullandığı araçta / birden fazla kişinin yaşadığı evde / başkasına ait çantada] ele geçmiştir. Paketler ve terazi üzerinde sanığa ait parmak izi ya da DNA tespit edilmemiş, bu yönde inceleme dahi yapılmamıştır. Sanığın maddenin varlığından haberdar olduğu ispatlanamamıştır.</w:t>
      </w:r>
    </w:p>
    <w:p>
      <w:pPr>
        <w:jc w:val="both"/>
        <w:spacing w:after="120" w:line="276" w:lineRule="auto"/>
      </w:pPr>
      <w:r>
        <w:t xml:space="preserve">5. </w:t>
      </w:r>
      <w:r>
        <w:t xml:space="preserve">[SEÇENEK - dosyanıza uyuyorsa kullanın: sanık kullanıcıysa] </w:t>
      </w:r>
      <w:r>
        <w:rPr>
          <w:b/>
          <w:bCs/>
        </w:rPr>
        <w:t xml:space="preserve">Kişisel kullanım ve TCK 191'e nitelendirme:</w:t>
      </w:r>
      <w:r>
        <w:t xml:space="preserve"> Sanık [süre]dır [madde türü] kullanmaktadır; bu durum [gg.aa.20..] tarihli [hastane / bağımlılık tedavi merkezi] kaydı ile [idrar / kan / saç] analizi sonucuyla desteklenmektedir. Ele geçen [miktar], sanığın açıkladığı [günlük kullanım miktarı] dikkate alındığında yaklaşık [gün / hafta] ihtiyacına karşılık gelmektedir. Yargıtay'ın yerleşik uygulamasında kişisel kullanım sınırı; failin kullanıcı olup olmadığı, kullanım sıklığı, ele geçen miktar ve maddenin ele geçiriliş biçimi birlikte değerlendirilerek belirlenir, yalnız grama bakılarak ticaret kabul edilmez. [varsa emsal karar künyesi]</w:t>
      </w:r>
    </w:p>
    <w:p>
      <w:pPr>
        <w:jc w:val="both"/>
        <w:spacing w:after="120" w:line="276" w:lineRule="auto"/>
      </w:pPr>
      <w:r>
        <w:t xml:space="preserve">6. </w:t>
      </w:r>
      <w:r>
        <w:t xml:space="preserve">[SEÇENEK - dosyanıza uyuyorsa kullanın: paketleme, terazi ve para] </w:t>
      </w:r>
      <w:r>
        <w:rPr>
          <w:b/>
          <w:bCs/>
        </w:rPr>
        <w:t xml:space="preserve">Satışa hazırlık göstergeleri:</w:t>
      </w:r>
      <w:r>
        <w:t xml:space="preserve"> Ele geçen madde [tek parça / farklı büyüklükte ... parça] hâlindedir; satışa hazır, birbirine yakın gramajlı paketleme yoktur. Boş poşet, kilitli torba, kesici alet gibi satış malzemesi bulunmamıştır. Hassas terazi [ele geçmemiştir / üzerinde madde kalıntısı incelemesi yapılmamıştır / sanık tarafından satın aldığı maddeyi kontrol etmek için kullanılmıştır]. Ele geçen [tutar] TL nakit [maaş / kira / ticari kazanç] kaynaklıdır ve [banka dökümü / bordro] ile açıklanmıştır.</w:t>
      </w:r>
    </w:p>
    <w:p>
      <w:pPr>
        <w:jc w:val="both"/>
        <w:spacing w:after="120" w:line="276" w:lineRule="auto"/>
      </w:pPr>
      <w:r>
        <w:t xml:space="preserve">7. </w:t>
      </w:r>
      <w:r>
        <w:t xml:space="preserve">[SEÇENEK - dosyanıza uyuyorsa kullanın: iletişim kayıtları] </w:t>
      </w:r>
      <w:r>
        <w:rPr>
          <w:b/>
          <w:bCs/>
        </w:rPr>
        <w:t xml:space="preserve">İletişim tespitinin hukuka uygunluğu ve içeriği:</w:t>
      </w:r>
      <w:r>
        <w:t xml:space="preserve"> Mütalaaya esas alınan [dinleme kayıtları / HTS kaydı / mesajlar] için CMK 135'in aradığı şartlar dosyada gösterilmemiştir: [hâkim kararı yoktur / Cumhuriyet savcısının kararı derhâl hâkim onayına sunulmamış ya da yirmi dört saat içinde hâkimce onaylanmamıştır / kayıt, karar süresi dolduktan sonra yapılmıştır / kararda sanığın hattı yer almamaktadır]. Hukuka aykırı elde edilen delil hükme esas alınamaz (CMK 206/2-a, 217/2). Kayıtlar hukuka uygun sayılsa bile görüşmelerde [madde adı, miktar, fiyat] geçmemektedir; kolluğun "şifreli konuşma" yorumu bir değerlendirmeden ibarettir ve tek başına delil değildir. Kayıttaki sesin sanığa ait olduğu ses incelemesiyle tespit edilmemiştir. Sanığın telefonu üzerindeki inceleme için CMK 134 uyarınca [karar alınmamıştır / imaj ve hash değeri alınmamıştır].</w:t>
      </w:r>
    </w:p>
    <w:p>
      <w:pPr>
        <w:jc w:val="both"/>
        <w:spacing w:after="120" w:line="276" w:lineRule="auto"/>
      </w:pPr>
      <w:r>
        <w:t xml:space="preserve">8. </w:t>
      </w:r>
      <w:r>
        <w:t xml:space="preserve">[SEÇENEK - dosyanıza uyuyorsa kullanın: arama] </w:t>
      </w:r>
      <w:r>
        <w:rPr>
          <w:b/>
          <w:bCs/>
        </w:rPr>
        <w:t xml:space="preserve">Aramanın hukuka aykırılığı:</w:t>
      </w:r>
      <w:r>
        <w:t xml:space="preserve"> Madde [konutta / işyerinde / araçta / üst aramasında] ele geçmiştir. Konutta, işyerinde ve kamuya açık olmayan kapalı alanlarda arama ancak hâkim kararıyla veya gecikmesinde sakınca bulunan hâllerde Cumhuriyet savcısının yazılı emriyle yapılabilir (CMK 119/1). Dosyada [karar ya da yazılı emir yoktur / emir sözlüdür / konut kolluk amirinin emriyle aranmıştır]. Cumhuriyet savcısı hazır olmadan yapılan konut aramasında ihtiyar heyetinden veya komşulardan iki kişi bulundurulmamıştır (CMK 119/4). [Araç ya da üst araması önleme araması kararına dayandırıldıysa: Arama, kararın kapsadığı yer ve saat dışında yapılmıştır.] Bu aramada ele geçen madde ve ona bağlı deliller hükme esas alınamaz.</w:t>
      </w:r>
    </w:p>
    <w:p>
      <w:pPr>
        <w:jc w:val="both"/>
        <w:spacing w:after="120" w:line="276" w:lineRule="auto"/>
      </w:pPr>
      <w:r>
        <w:t xml:space="preserve">9. </w:t>
      </w:r>
      <w:r>
        <w:t xml:space="preserve">[SEÇENEK - dosyanıza uyuyorsa kullanın: muhbir, gizli soruşturmacı, alıcı beyanı] </w:t>
      </w:r>
      <w:r>
        <w:rPr>
          <w:b/>
          <w:bCs/>
        </w:rPr>
        <w:t xml:space="preserve">Beyan delilinin değeri:</w:t>
      </w:r>
      <w:r>
        <w:t xml:space="preserve"> Soruşturma [kimliği belirsiz bir ihbara / gizli soruşturmacı faaliyetine] dayanmaktadır. İhbar bir başlangıç bilgisidir; ihbarda bulunan duruşmada dinlenmedikçe ve beyanı başka delillerle doğrulanmadıkça mahkûmiyete esas alınamaz. Gizli soruşturmacı görevlendirmesi için CMK 139/1 uyarınca gereken hâkim kararı [bulunmamaktadır / dosyaya sunulmamıştır]. Sanıktan madde aldığını söyleyen [tanığın sıfatı], kendi dosyasında TCK 192'deki indirimden yararlanma beklentisiyle konuşmuştur. Bu beyan, [gg.aa.20..] tarihli ilk ifadesiyle [miktar / tarih / yer] bakımından çelişmekte ve hiçbir nesnel delille desteklenmemektedir.</w:t>
      </w:r>
    </w:p>
    <w:p>
      <w:pPr>
        <w:jc w:val="both"/>
        <w:spacing w:after="120" w:line="276" w:lineRule="auto"/>
      </w:pPr>
      <w:r>
        <w:t xml:space="preserve">10. </w:t>
      </w:r>
      <w:r>
        <w:t xml:space="preserve">[SEÇENEK - dosyanıza uyuyorsa kullanın: kolluk ifadesi] </w:t>
      </w:r>
      <w:r>
        <w:rPr>
          <w:b/>
          <w:bCs/>
        </w:rPr>
        <w:t xml:space="preserve">Müdafisiz alınan ifade:</w:t>
      </w:r>
      <w:r>
        <w:t xml:space="preserve"> Sanığın [gg.aa.20..] tarihli kolluk ifadesi müdafi hazır bulunmadan alınmış ve sanık bu ifadeyi hâkim önünde doğrulamamıştır. CMK 148/4 uyarınca bu ifade hükme esas alınamaz.</w:t>
      </w:r>
    </w:p>
    <w:p>
      <w:pPr>
        <w:jc w:val="both"/>
        <w:spacing w:after="120" w:line="276" w:lineRule="auto"/>
      </w:pPr>
      <w:r>
        <w:t xml:space="preserve">11. </w:t>
      </w:r>
      <w:r>
        <w:t xml:space="preserve">[SEÇENEK - dosyanıza uyuyorsa kullanın: nitelikli hâller] </w:t>
      </w:r>
      <w:r>
        <w:rPr>
          <w:b/>
          <w:bCs/>
        </w:rPr>
        <w:t xml:space="preserve">TCK 188/4 ve 188/5 artırımları:</w:t>
      </w:r>
      <w:r>
        <w:t xml:space="preserve"> 188/4-a artırımı yalnız kanunda sayılan maddeler için uygulanır; ele geçen [esrar / ...] bu sayımda yer almamaktadır ya da raporda maddenin hangi türev olduğu belirlenmemiştir. 188/4-b artırımı, fiilin okul, yurt, hastane, kışla veya ibadethane gibi binaların sınırına iki yüz metreden yakın umumi veya umuma açık bir yerde işlenmesini arar; dosyada mesafe [hiç ölçülmemiştir / krokiden tahmin edilmiştir / binanın sınırı yerine başka bir noktadan ölçülmüştür] ve olay yerinin [özel konut / kapalı alan] olduğu dikkate alınmamıştır. 188/5 artırımı için suçun üç veya daha fazla kişi tarafından birlikte işlendiği her sanık yönünden ayrı ayrı ispatlanmalıdır; diğer kişilerle aynı ortamda bulunmak iştirak anlamına gelmez.</w:t>
      </w:r>
    </w:p>
    <w:p>
      <w:pPr>
        <w:jc w:val="both"/>
        <w:spacing w:after="120" w:line="276" w:lineRule="auto"/>
      </w:pPr>
      <w:r>
        <w:t xml:space="preserve">12. </w:t>
      </w:r>
      <w:r>
        <w:t xml:space="preserve">[SEÇENEK - dosyanıza uyuyorsa kullanın: etkin pişmanlık] </w:t>
      </w:r>
      <w:r>
        <w:rPr>
          <w:b/>
          <w:bCs/>
        </w:rPr>
        <w:t xml:space="preserve">TCK 192 indirimi:</w:t>
      </w:r>
      <w:r>
        <w:t xml:space="preserve"> Sanık, [gg.aa.20..] tarihli ifadesinde maddeyi [kimden / nereden] temin ettiğini açıklamış; bu bilgi üzerine [kişi yakalanmış / madde ele geçirilmiştir] ve bu durum [tutanak tarihi] ile sabittir. Suç haber alındıktan sonra gönüllü olarak suçun meydana çıkmasına ve diğer faillerin yakalanmasına yardım eden sanığın cezası, yardımın niteliğine göre dörtte birden yarısına kadar indirilir (TCK 192/3). [Bilgi, resmi makamlar haber almadan önce verildiyse: TCK 192/1 uyarınca cezaya hükmolunmamalıdır.]</w:t>
      </w:r>
    </w:p>
    <w:p>
      <w:pPr>
        <w:jc w:val="both"/>
        <w:spacing w:after="120" w:line="276" w:lineRule="auto"/>
      </w:pPr>
      <w:r>
        <w:t xml:space="preserve">13. </w:t>
      </w:r>
      <w:r>
        <w:rPr>
          <w:b/>
          <w:bCs/>
        </w:rPr>
        <w:t xml:space="preserve">Ceza tayini:</w:t>
      </w:r>
      <w:r>
        <w:t xml:space="preserve"> Mahkemeniz aksi kanaatte olsa bile; suçun işleniş biçimi, ele geçen miktarın azlığı, satışa yönelik bir eylemin tespit edilmemiş olması ve sanığın [adli sicil kaydının bulunmaması / yaşı / aile durumu] birlikte değerlendirildiğinde temel cezanın TCK 61 uyarınca alt sınırdan belirlenmesi gerekir. Sanığın yargılama boyunca gösterdiği tutum ve [tedaviye başlaması / pişmanlığı] TCK 62'deki takdiri indirimi gerektirir.</w:t>
      </w:r>
    </w:p>
    <w:p>
      <w:pPr>
        <w:jc w:val="both"/>
        <w:spacing w:after="120" w:line="276" w:lineRule="auto"/>
      </w:pPr>
      <w:r>
        <w:t xml:space="preserve">14. </w:t>
      </w:r>
      <w:r>
        <w:rPr>
          <w:b/>
          <w:bCs/>
        </w:rPr>
        <w:t xml:space="preserve">Müsadere:</w:t>
      </w:r>
      <w:r>
        <w:t xml:space="preserve"> Ele geçen [tutar] TL nakit ile [telefon / araç] suçtan elde edilmiş ya da suçta kullanılmış değildir; kaynağı [belge adı] ile açıklanmıştır. TCK 54 ve 55'in şartları oluşmadığından bunların sanığa iadesine karar verilmelidir.</w:t>
      </w:r>
    </w:p>
    <w:p>
      <w:pPr>
        <w:jc w:val="both"/>
        <w:spacing w:after="120" w:line="276" w:lineRule="auto"/>
      </w:pPr>
      <w:r>
        <w:rPr>
          <w:b/>
          <w:bCs/>
        </w:rPr>
        <w:t xml:space="preserve">HUKUKİ NEDENLER:</w:t>
      </w:r>
      <w:r>
        <w:t xml:space="preserve"> CMK m.119, 134, 135, 139, 148, 206, 207, 216, 217, 223, 226; TCK m.21, 54, 55, 61, 62, 188, 191, 192 ve ilgili mevzuat.</w:t>
      </w:r>
    </w:p>
    <w:p>
      <w:pPr>
        <w:jc w:val="both"/>
        <w:spacing w:after="120" w:line="276" w:lineRule="auto"/>
      </w:pPr>
      <w:r>
        <w:rPr>
          <w:b/>
          <w:bCs/>
        </w:rPr>
        <w:t xml:space="preserve">DELİLLER:</w:t>
      </w:r>
      <w:r>
        <w:t xml:space="preserve"> Dosya kapsamı, [gg.aa.20..] tarihli arama ve el koyma tutanakları, [laboratuvar raporu], [iletişim tespiti kararları ve tutanakları], duruşma tutanakları, [sağlık ve tedavi kayıtları], [banka dökümü / bordro], [uzman mütalaası],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[paketler ve terazi üzerinde parmak izi ve DNA incelemesi yapılmasına / kayıtlardaki ses için ses incelemesi yaptırılmasına / her paketin net ağırlığını gösteren ek rapor alınmasına / iki yüz metre mesafesi için keşif yapılmasına / ihbarda bulunan ve tanık [ad] dinlenmesine] ilişkin delil taleplerimizin kabulüne, [mütalaada suç vasfı değiştiyse: ek savunma için süre verilmesine],</w:t>
      </w:r>
    </w:p>
    <w:p>
      <w:pPr>
        <w:jc w:val="both"/>
        <w:spacing w:after="120" w:line="276" w:lineRule="auto"/>
      </w:pPr>
      <w:r>
        <w:t xml:space="preserve">2. </w:t>
      </w:r>
      <w:r>
        <w:t xml:space="preserve">Hukuka aykırı elde edilen [arama sonuçlarının / iletişim kayıtlarının / müdafisiz kolluk ifadesinin] hükme esas alınmamasına,</w:t>
      </w:r>
    </w:p>
    <w:p>
      <w:pPr>
        <w:jc w:val="both"/>
        <w:spacing w:after="120" w:line="276" w:lineRule="auto"/>
      </w:pPr>
      <w:r>
        <w:t xml:space="preserve">3. </w:t>
      </w:r>
      <w:r>
        <w:t xml:space="preserve">Sanığın üzerine atılı uyuşturucu ticareti suçundan CMK 223/2-e uyarınca BERAATİNE,</w:t>
      </w:r>
    </w:p>
    <w:p>
      <w:pPr>
        <w:jc w:val="both"/>
        <w:spacing w:after="120" w:line="276" w:lineRule="auto"/>
      </w:pPr>
      <w:r>
        <w:t xml:space="preserve">4. </w:t>
      </w:r>
      <w:r>
        <w:t xml:space="preserve">Mahkemeniz aksi kanaatte ise terditli olarak; eylemin TCK 191/1 kapsamında kullanmak için bulundurma olarak nitelendirilmesine ve TCK 191/8 uyarınca hükmün açıklanmasının geri bırakılmasına,</w:t>
      </w:r>
    </w:p>
    <w:p>
      <w:pPr>
        <w:jc w:val="both"/>
        <w:spacing w:after="120" w:line="276" w:lineRule="auto"/>
      </w:pPr>
      <w:r>
        <w:t xml:space="preserve">5. </w:t>
      </w:r>
      <w:r>
        <w:t xml:space="preserve">Bu talebimiz de kabul görmezse; TCK 188/4 ve 188/5 artırımlarının uygulanmamasına, temel cezanın alt sınırdan belirlenmesine, [TCK 192/3 ve] TCK 62 indirimlerinin uygulanmasına,</w:t>
      </w:r>
    </w:p>
    <w:p>
      <w:pPr>
        <w:jc w:val="both"/>
        <w:spacing w:after="120" w:line="276" w:lineRule="auto"/>
      </w:pPr>
      <w:r>
        <w:t xml:space="preserve">6. </w:t>
      </w:r>
      <w:r>
        <w:t xml:space="preserve">Ele geçen [nakit / telefon / araç] yönünden müsadere talebinin reddiyle sanığa iadesine,</w:t>
      </w:r>
    </w:p>
    <w:p>
      <w:pPr>
        <w:jc w:val="both"/>
        <w:spacing w:after="120" w:line="276" w:lineRule="auto"/>
      </w:pPr>
      <w:r>
        <w:t xml:space="preserve">7. </w:t>
      </w:r>
      <w:r>
        <w:t xml:space="preserve">[Sanık tutuklu ise: Sanığın tahliyesine, gerekirse adli kontrol tedbiri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[Sağlık ve tedavi kayıtları, varsa test sonuçları]</w:t>
      </w:r>
    </w:p>
    <w:p>
      <w:pPr>
        <w:jc w:val="both"/>
        <w:spacing w:after="120" w:line="276" w:lineRule="auto"/>
      </w:pPr>
      <w:r>
        <w:t xml:space="preserve">2. </w:t>
      </w:r>
      <w:r>
        <w:t xml:space="preserve">[Paranın kaynağını gösteren banka dökümü / bordro / kira sözleşmesi]</w:t>
      </w:r>
    </w:p>
    <w:p>
      <w:pPr>
        <w:jc w:val="both"/>
        <w:spacing w:after="120" w:line="276" w:lineRule="auto"/>
      </w:pPr>
      <w:r>
        <w:t xml:space="preserve">3. </w:t>
      </w:r>
      <w:r>
        <w:t xml:space="preserve">[Uzman mütalaası]</w:t>
      </w:r>
    </w:p>
    <w:p>
      <w:pPr>
        <w:jc w:val="both"/>
        <w:spacing w:after="120" w:line="276" w:lineRule="auto"/>
      </w:pPr>
      <w:r>
        <w:t xml:space="preserve">4. </w:t>
      </w:r>
      <w:r>
        <w:t xml:space="preserve">[Adli sicil kaydı ve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